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项目编号：</w:t>
      </w:r>
      <w:r>
        <w:rPr>
          <w:rFonts w:hint="eastAsia" w:asciiTheme="minorEastAsia" w:hAnsiTheme="minorEastAsia"/>
          <w:sz w:val="30"/>
          <w:szCs w:val="30"/>
          <w:highlight w:val="none"/>
        </w:rPr>
        <w:tab/>
      </w:r>
      <w:r>
        <w:rPr>
          <w:rFonts w:hint="eastAsia" w:asciiTheme="minorEastAsia" w:hAnsiTheme="minorEastAsia"/>
          <w:sz w:val="30"/>
          <w:szCs w:val="30"/>
          <w:highlight w:val="none"/>
        </w:rPr>
        <w:t>BAZXCG-2024-00367</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项目名称：</w:t>
      </w:r>
      <w:r>
        <w:rPr>
          <w:rFonts w:hint="eastAsia" w:asciiTheme="minorEastAsia" w:hAnsiTheme="minorEastAsia"/>
          <w:sz w:val="30"/>
          <w:szCs w:val="30"/>
          <w:highlight w:val="none"/>
        </w:rPr>
        <w:tab/>
      </w:r>
      <w:r>
        <w:rPr>
          <w:rFonts w:hint="eastAsia" w:asciiTheme="minorEastAsia" w:hAnsiTheme="minorEastAsia"/>
          <w:sz w:val="30"/>
          <w:szCs w:val="30"/>
          <w:highlight w:val="none"/>
        </w:rPr>
        <w:t>深圳市福海中学常规教学仪器</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包    号：</w:t>
      </w:r>
      <w:r>
        <w:rPr>
          <w:rFonts w:hint="eastAsia" w:asciiTheme="minorEastAsia" w:hAnsiTheme="minorEastAsia"/>
          <w:sz w:val="30"/>
          <w:szCs w:val="30"/>
          <w:highlight w:val="none"/>
        </w:rPr>
        <w:tab/>
      </w:r>
      <w:r>
        <w:rPr>
          <w:rFonts w:hint="eastAsia" w:asciiTheme="minorEastAsia" w:hAnsiTheme="minorEastAsia"/>
          <w:sz w:val="30"/>
          <w:szCs w:val="30"/>
          <w:highlight w:val="none"/>
        </w:rPr>
        <w:t>A</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项目类型：</w:t>
      </w:r>
      <w:r>
        <w:rPr>
          <w:rFonts w:hint="eastAsia" w:asciiTheme="minorEastAsia" w:hAnsiTheme="minorEastAsia"/>
          <w:sz w:val="30"/>
          <w:szCs w:val="30"/>
          <w:highlight w:val="none"/>
        </w:rPr>
        <w:tab/>
      </w:r>
      <w:r>
        <w:rPr>
          <w:rFonts w:hint="eastAsia" w:asciiTheme="minorEastAsia" w:hAnsiTheme="minorEastAsia"/>
          <w:sz w:val="30"/>
          <w:szCs w:val="30"/>
          <w:highlight w:val="none"/>
        </w:rPr>
        <w:t>货物类</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采购方式：</w:t>
      </w:r>
      <w:r>
        <w:rPr>
          <w:rFonts w:hint="eastAsia" w:asciiTheme="minorEastAsia" w:hAnsiTheme="minorEastAsia"/>
          <w:sz w:val="30"/>
          <w:szCs w:val="30"/>
          <w:highlight w:val="none"/>
        </w:rPr>
        <w:tab/>
      </w:r>
      <w:r>
        <w:rPr>
          <w:rFonts w:hint="eastAsia" w:asciiTheme="minorEastAsia" w:hAnsiTheme="minorEastAsia"/>
          <w:sz w:val="30"/>
          <w:szCs w:val="30"/>
          <w:highlight w:val="none"/>
        </w:rPr>
        <w:t>公开招标</w:t>
      </w:r>
    </w:p>
    <w:p>
      <w:pPr>
        <w:tabs>
          <w:tab w:val="left" w:pos="2790"/>
        </w:tabs>
        <w:snapToGrid w:val="0"/>
        <w:spacing w:line="440" w:lineRule="exact"/>
        <w:jc w:val="left"/>
        <w:rPr>
          <w:rFonts w:hint="eastAsia" w:asciiTheme="minorEastAsia" w:hAnsiTheme="minorEastAsia"/>
          <w:sz w:val="30"/>
          <w:szCs w:val="30"/>
          <w:highlight w:val="none"/>
        </w:rPr>
      </w:pPr>
      <w:r>
        <w:rPr>
          <w:rFonts w:hint="eastAsia" w:asciiTheme="minorEastAsia" w:hAnsiTheme="minorEastAsia"/>
          <w:sz w:val="30"/>
          <w:szCs w:val="30"/>
          <w:highlight w:val="none"/>
        </w:rPr>
        <w:t>货币类型：</w:t>
      </w:r>
      <w:r>
        <w:rPr>
          <w:rFonts w:hint="eastAsia" w:asciiTheme="minorEastAsia" w:hAnsiTheme="minorEastAsia"/>
          <w:sz w:val="30"/>
          <w:szCs w:val="30"/>
          <w:highlight w:val="none"/>
        </w:rPr>
        <w:tab/>
      </w:r>
      <w:r>
        <w:rPr>
          <w:rFonts w:hint="eastAsia" w:asciiTheme="minorEastAsia" w:hAnsiTheme="minorEastAsia"/>
          <w:sz w:val="30"/>
          <w:szCs w:val="30"/>
          <w:highlight w:val="none"/>
        </w:rPr>
        <w:t>人民币</w:t>
      </w:r>
    </w:p>
    <w:p>
      <w:pPr>
        <w:tabs>
          <w:tab w:val="left" w:pos="2790"/>
        </w:tabs>
        <w:snapToGrid w:val="0"/>
        <w:spacing w:line="440" w:lineRule="exact"/>
        <w:jc w:val="left"/>
        <w:rPr>
          <w:rFonts w:asciiTheme="minorEastAsia" w:hAnsiTheme="minorEastAsia"/>
          <w:sz w:val="30"/>
          <w:szCs w:val="30"/>
          <w:highlight w:val="none"/>
        </w:rPr>
      </w:pPr>
      <w:r>
        <w:rPr>
          <w:rFonts w:hint="eastAsia" w:asciiTheme="minorEastAsia" w:hAnsiTheme="minorEastAsia"/>
          <w:sz w:val="30"/>
          <w:szCs w:val="30"/>
          <w:highlight w:val="none"/>
        </w:rPr>
        <w:t>评标方法：</w:t>
      </w:r>
      <w:r>
        <w:rPr>
          <w:rFonts w:hint="eastAsia" w:asciiTheme="minorEastAsia" w:hAnsiTheme="minorEastAsia"/>
          <w:sz w:val="30"/>
          <w:szCs w:val="30"/>
          <w:highlight w:val="none"/>
        </w:rPr>
        <w:tab/>
      </w:r>
      <w:r>
        <w:rPr>
          <w:rFonts w:hint="eastAsia" w:asciiTheme="minorEastAsia" w:hAnsiTheme="minorEastAsia"/>
          <w:sz w:val="30"/>
          <w:szCs w:val="30"/>
          <w:highlight w:val="none"/>
        </w:rPr>
        <w:t>综合评分法</w:t>
      </w: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highlight w:val="none"/>
        </w:rPr>
      </w:pPr>
      <w:r>
        <w:rPr>
          <w:rFonts w:hint="eastAsia" w:ascii="黑体" w:hAnsi="黑体" w:eastAsia="黑体" w:cs="Times New Roman"/>
          <w:sz w:val="40"/>
          <w:szCs w:val="40"/>
          <w:highlight w:val="none"/>
        </w:rPr>
        <w:t>资格性审查表</w:t>
      </w:r>
    </w:p>
    <w:tbl>
      <w:tblPr>
        <w:tblStyle w:val="16"/>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highlight w:val="none"/>
              </w:rPr>
            </w:pPr>
            <w:r>
              <w:rPr>
                <w:rFonts w:ascii="宋体" w:hAnsi="宋体" w:eastAsia="宋体" w:cs="宋体"/>
                <w:kern w:val="0"/>
                <w:szCs w:val="21"/>
                <w:highlight w:val="none"/>
              </w:rPr>
              <w:t>投标人不</w:t>
            </w:r>
            <w:r>
              <w:rPr>
                <w:rFonts w:hint="eastAsia" w:ascii="宋体" w:hAnsi="宋体" w:eastAsia="宋体" w:cs="宋体"/>
                <w:kern w:val="0"/>
                <w:szCs w:val="21"/>
                <w:highlight w:val="none"/>
              </w:rPr>
              <w:t>符合</w:t>
            </w:r>
            <w:r>
              <w:rPr>
                <w:rFonts w:ascii="宋体" w:hAnsi="宋体" w:eastAsia="宋体" w:cs="宋体"/>
                <w:kern w:val="0"/>
                <w:szCs w:val="21"/>
                <w:highlight w:val="none"/>
              </w:rPr>
              <w:t>资格要求，或未提交相应的资格证明资料（详见招标公告</w:t>
            </w:r>
            <w:r>
              <w:rPr>
                <w:rFonts w:hint="eastAsia" w:ascii="宋体" w:hAnsi="宋体" w:eastAsia="宋体" w:cs="Times New Roman"/>
                <w:szCs w:val="21"/>
                <w:highlight w:val="none"/>
              </w:rPr>
              <w:t>投标人资格要求，即申请人的资格要求</w:t>
            </w:r>
            <w:r>
              <w:rPr>
                <w:rFonts w:ascii="宋体" w:hAnsi="宋体" w:eastAsia="宋体" w:cs="宋体"/>
                <w:kern w:val="0"/>
                <w:szCs w:val="21"/>
                <w:highlight w:val="none"/>
              </w:rPr>
              <w:t>）。</w:t>
            </w:r>
          </w:p>
        </w:tc>
      </w:tr>
    </w:tbl>
    <w:p>
      <w:pPr>
        <w:tabs>
          <w:tab w:val="left" w:pos="2790"/>
        </w:tabs>
        <w:snapToGrid w:val="0"/>
        <w:jc w:val="center"/>
        <w:rPr>
          <w:rFonts w:ascii="黑体" w:hAnsi="黑体" w:eastAsia="黑体" w:cs="Times New Roman"/>
          <w:sz w:val="40"/>
          <w:szCs w:val="40"/>
          <w:highlight w:val="none"/>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highlight w:val="none"/>
        </w:rPr>
      </w:pPr>
      <w:r>
        <w:rPr>
          <w:rFonts w:hint="eastAsia" w:ascii="黑体" w:hAnsi="黑体" w:eastAsia="黑体" w:cs="Times New Roman"/>
          <w:sz w:val="40"/>
          <w:szCs w:val="40"/>
          <w:highlight w:val="none"/>
        </w:rPr>
        <w:t>符合性审查表</w:t>
      </w:r>
    </w:p>
    <w:tbl>
      <w:tblPr>
        <w:tblStyle w:val="16"/>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highlight w:val="none"/>
              </w:rPr>
            </w:pPr>
            <w:r>
              <w:rPr>
                <w:rFonts w:ascii="宋体" w:hAnsi="宋体" w:eastAsia="宋体" w:cs="Times New Roman"/>
                <w:szCs w:val="21"/>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1</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b/>
                <w:highlight w:val="none"/>
              </w:rPr>
            </w:pPr>
            <w:r>
              <w:rPr>
                <w:rFonts w:hint="eastAsia"/>
                <w:highlight w:val="none"/>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2</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3</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分项报价或投标总价不得高于</w:t>
            </w:r>
            <w:bookmarkStart w:id="0" w:name="_Hlk71832186"/>
            <w:r>
              <w:rPr>
                <w:rFonts w:hint="eastAsia"/>
                <w:highlight w:val="none"/>
              </w:rPr>
              <w:t>相应预算金额（或设定的预算金额下的最高限价）</w:t>
            </w:r>
            <w:bookmarkEnd w:id="0"/>
            <w:r>
              <w:rPr>
                <w:rFonts w:hint="eastAsia" w:ascii="Calibri" w:hAnsi="Calibri" w:eastAsia="宋体" w:cs="Times New Roman"/>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4</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ascii="Calibri" w:hAnsi="Calibri" w:eastAsia="宋体" w:cs="Times New Roman"/>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5</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所投货物、服务在技术、商务等方面没有实质性满足招标文件要求</w:t>
            </w:r>
            <w:r>
              <w:rPr>
                <w:rFonts w:hint="eastAsia" w:ascii="Calibri" w:hAnsi="Calibri" w:eastAsia="宋体" w:cs="Times New Roman"/>
                <w:highlight w:val="none"/>
              </w:rPr>
              <w:t>的</w:t>
            </w:r>
            <w:r>
              <w:rPr>
                <w:rFonts w:hint="eastAsia"/>
                <w:highlight w:val="none"/>
              </w:rPr>
              <w:t>（是否实质性满足招标文件要求，由评审委员会根据实质性条款响应情况做出评判</w:t>
            </w:r>
            <w:r>
              <w:rPr>
                <w:rFonts w:hint="eastAsia"/>
                <w:highlight w:val="none"/>
                <w:lang w:eastAsia="zh-CN"/>
              </w:rPr>
              <w:t>；</w:t>
            </w:r>
            <w:r>
              <w:rPr>
                <w:rFonts w:hint="eastAsia"/>
                <w:highlight w:val="none"/>
                <w:lang w:val="en-US" w:eastAsia="zh-CN"/>
              </w:rPr>
              <w:t>若招标文件未设置实质性条款，不得据此做投标无效处理</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6</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r>
              <w:rPr>
                <w:rFonts w:ascii="Calibri" w:hAnsi="Calibri" w:eastAsia="宋体" w:cs="Times New Roman"/>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7</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highlight w:val="none"/>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8</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9</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highlight w:val="none"/>
              </w:rPr>
            </w:pPr>
            <w:r>
              <w:rPr>
                <w:rFonts w:ascii="Calibri" w:hAnsi="Calibri" w:eastAsia="宋体" w:cs="Times New Roman"/>
                <w:highlight w:val="none"/>
              </w:rPr>
              <w:t>10</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szCs w:val="21"/>
                <w:highlight w:val="none"/>
              </w:rPr>
            </w:pPr>
            <w:r>
              <w:rPr>
                <w:rFonts w:hint="eastAsia" w:ascii="宋体" w:hAnsi="宋体" w:eastAsia="宋体"/>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highlight w:val="none"/>
                <w:lang w:val="en-US" w:eastAsia="zh-CN"/>
              </w:rPr>
            </w:pPr>
            <w:r>
              <w:rPr>
                <w:rFonts w:hint="eastAsia" w:ascii="Calibri" w:hAnsi="Calibri" w:eastAsia="宋体" w:cs="Times New Roman"/>
                <w:highlight w:val="none"/>
                <w:lang w:val="en-US" w:eastAsia="zh-CN"/>
              </w:rPr>
              <w:t>11</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hint="eastAsia"/>
                <w:highlight w:val="none"/>
              </w:rPr>
            </w:pPr>
            <w:r>
              <w:rPr>
                <w:rFonts w:hint="eastAsia" w:ascii="宋体" w:hAnsi="宋体" w:eastAsia="宋体"/>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highlight w:val="none"/>
                <w:lang w:val="en-US" w:eastAsia="zh-CN"/>
              </w:rPr>
            </w:pPr>
            <w:r>
              <w:rPr>
                <w:rFonts w:hint="eastAsia" w:ascii="Calibri" w:hAnsi="Calibri" w:eastAsia="宋体" w:cs="Times New Roman"/>
                <w:highlight w:val="none"/>
                <w:lang w:val="en-US" w:eastAsia="zh-CN"/>
              </w:rPr>
              <w:t>12</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highlight w:val="none"/>
              </w:rPr>
            </w:pPr>
            <w:r>
              <w:rPr>
                <w:rFonts w:hint="eastAsia"/>
                <w:highlight w:val="none"/>
              </w:rPr>
              <w:t>法律、法规、规章、规范性文件规定的其他情形。</w:t>
            </w:r>
          </w:p>
        </w:tc>
      </w:tr>
    </w:tbl>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tabs>
          <w:tab w:val="left" w:pos="2790"/>
        </w:tabs>
        <w:snapToGrid w:val="0"/>
        <w:jc w:val="left"/>
        <w:rPr>
          <w:rFonts w:hint="eastAsia"/>
          <w:sz w:val="24"/>
          <w:szCs w:val="24"/>
          <w:highlight w:val="none"/>
        </w:rPr>
      </w:pPr>
    </w:p>
    <w:p>
      <w:pPr>
        <w:pStyle w:val="14"/>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highlight w:val="none"/>
        </w:rPr>
      </w:pPr>
      <w:r>
        <w:rPr>
          <w:rFonts w:hint="eastAsia" w:ascii="黑体" w:hAnsi="黑体" w:eastAsia="黑体"/>
          <w:sz w:val="40"/>
          <w:szCs w:val="40"/>
          <w:highlight w:val="none"/>
        </w:rPr>
        <w:t>评标信息</w:t>
      </w:r>
    </w:p>
    <w:p>
      <w:pPr>
        <w:rPr>
          <w:rFonts w:hint="default" w:eastAsiaTheme="minorEastAsia"/>
          <w:highlight w:val="none"/>
          <w:lang w:val="en-US" w:eastAsia="zh-CN"/>
        </w:rPr>
      </w:pPr>
      <w:r>
        <w:rPr>
          <w:rFonts w:ascii="宋体" w:hAnsi="宋体"/>
          <w:b/>
          <w:bCs/>
          <w:highlight w:val="none"/>
        </w:rPr>
        <w:t>评标方法：综合评分法</w:t>
      </w:r>
      <w:r>
        <w:rPr>
          <w:rFonts w:hint="eastAsia" w:ascii="宋体" w:hAnsi="宋体"/>
          <w:b/>
          <w:bCs/>
          <w:highlight w:val="none"/>
          <w:lang w:val="en-US" w:eastAsia="zh-CN"/>
        </w:rPr>
        <w:t>/最低价法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highlight w:val="none"/>
        </w:rPr>
      </w:pPr>
      <w:r>
        <w:rPr>
          <w:rFonts w:hint="eastAsia"/>
          <w:highlight w:val="none"/>
        </w:rPr>
        <w:sym w:font="Wingdings" w:char="00A8"/>
      </w:r>
      <w:r>
        <w:rPr>
          <w:rFonts w:hint="eastAsia"/>
          <w:szCs w:val="21"/>
          <w:highlight w:val="none"/>
        </w:rPr>
        <w:t>最低价法，是指投标文件满足招标文件全部实质性要求，且投标报价最低的投标人为中标候选人的评标方法。采用最低价法评标时，除了算术修正和落实政府采购政策需进行的价格扣除外，不能对投标人的投标价格进行任何调整。</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highlight w:val="none"/>
          <w:lang w:eastAsia="zh-CN"/>
        </w:rPr>
      </w:pPr>
      <w:r>
        <w:rPr>
          <w:szCs w:val="21"/>
          <w:highlight w:val="none"/>
        </w:rPr>
        <w:sym w:font="Wingdings" w:char="00FE"/>
      </w:r>
      <w:r>
        <w:rPr>
          <w:szCs w:val="21"/>
          <w:highlight w:val="none"/>
        </w:rPr>
        <w:t>综合评分法，</w:t>
      </w:r>
      <w:r>
        <w:rPr>
          <w:rFonts w:hint="eastAsia"/>
          <w:szCs w:val="21"/>
          <w:highlight w:val="none"/>
        </w:rPr>
        <w:t>是指投标文件满足招标文件全部实质性要求，且按照评审因素的量化指标评审得分最高的投标人为中标候选人的评标方法。</w:t>
      </w:r>
    </w:p>
    <w:p>
      <w:pPr>
        <w:spacing w:line="324" w:lineRule="auto"/>
        <w:ind w:firstLine="420"/>
        <w:rPr>
          <w:highlight w:val="none"/>
        </w:rPr>
      </w:pPr>
    </w:p>
    <w:p>
      <w:pPr>
        <w:ind w:firstLine="420"/>
        <w:rPr>
          <w:highlight w:val="none"/>
        </w:rPr>
      </w:pPr>
      <w:r>
        <w:rPr>
          <w:rFonts w:ascii="宋体" w:hAnsi="宋体"/>
          <w:highlight w:val="none"/>
        </w:rPr>
        <w:t>价格分计算方法：</w:t>
      </w:r>
    </w:p>
    <w:p>
      <w:pPr>
        <w:rPr>
          <w:rFonts w:hint="eastAsia" w:eastAsiaTheme="minorEastAsia"/>
          <w:highlight w:val="none"/>
          <w:lang w:eastAsia="zh-CN"/>
        </w:rPr>
      </w:pPr>
      <w:r>
        <w:rPr>
          <w:rFonts w:ascii="宋体" w:hAnsi="宋体"/>
          <w:highlight w:val="none"/>
        </w:rPr>
        <w:t>采用低价优先法计算，即满足招标文件要求且投标价格最低的投标报价为评标基准价，其价格分为满分。其他投标人的价格分统一按照下列公式计算：</w:t>
      </w:r>
      <w:r>
        <w:rPr>
          <w:highlight w:val="none"/>
        </w:rPr>
        <w:t xml:space="preserve"> </w:t>
      </w:r>
    </w:p>
    <w:p>
      <w:pPr>
        <w:rPr>
          <w:rFonts w:hint="eastAsia" w:eastAsiaTheme="minorEastAsia"/>
          <w:highlight w:val="none"/>
          <w:lang w:eastAsia="zh-CN"/>
        </w:rPr>
      </w:pPr>
      <w:r>
        <w:rPr>
          <w:rFonts w:ascii="宋体" w:hAnsi="宋体"/>
          <w:highlight w:val="none"/>
        </w:rPr>
        <w:t>投标报价得分</w:t>
      </w:r>
      <w:r>
        <w:rPr>
          <w:highlight w:val="none"/>
        </w:rPr>
        <w:t>=(</w:t>
      </w:r>
      <w:r>
        <w:rPr>
          <w:rFonts w:ascii="宋体" w:hAnsi="宋体"/>
          <w:highlight w:val="none"/>
        </w:rPr>
        <w:t>评标基准价／投标报价</w:t>
      </w:r>
      <w:r>
        <w:rPr>
          <w:highlight w:val="none"/>
        </w:rPr>
        <w:t xml:space="preserve">)×100 </w:t>
      </w:r>
    </w:p>
    <w:p>
      <w:pPr>
        <w:rPr>
          <w:rFonts w:hint="eastAsia" w:eastAsiaTheme="minorEastAsia"/>
          <w:highlight w:val="none"/>
          <w:lang w:eastAsia="zh-CN"/>
        </w:rPr>
      </w:pPr>
      <w:r>
        <w:rPr>
          <w:rFonts w:ascii="宋体" w:hAnsi="宋体"/>
          <w:highlight w:val="none"/>
        </w:rPr>
        <w:t>评标总得分＝</w:t>
      </w:r>
      <w:r>
        <w:rPr>
          <w:highlight w:val="none"/>
        </w:rPr>
        <w:t>F1×A1</w:t>
      </w:r>
      <w:r>
        <w:rPr>
          <w:rFonts w:ascii="宋体" w:hAnsi="宋体"/>
          <w:highlight w:val="none"/>
        </w:rPr>
        <w:t>＋</w:t>
      </w:r>
      <w:r>
        <w:rPr>
          <w:highlight w:val="none"/>
        </w:rPr>
        <w:t>F2×A2</w:t>
      </w:r>
      <w:r>
        <w:rPr>
          <w:rFonts w:ascii="宋体" w:hAnsi="宋体"/>
          <w:highlight w:val="none"/>
        </w:rPr>
        <w:t>＋</w:t>
      </w:r>
      <w:r>
        <w:rPr>
          <w:highlight w:val="none"/>
        </w:rPr>
        <w:t>……</w:t>
      </w:r>
      <w:r>
        <w:rPr>
          <w:rFonts w:ascii="宋体" w:hAnsi="宋体"/>
          <w:highlight w:val="none"/>
        </w:rPr>
        <w:t>＋</w:t>
      </w:r>
      <w:r>
        <w:rPr>
          <w:highlight w:val="none"/>
        </w:rPr>
        <w:t xml:space="preserve">Fn×An </w:t>
      </w:r>
    </w:p>
    <w:p>
      <w:pPr>
        <w:rPr>
          <w:rFonts w:hint="eastAsia" w:ascii="宋体" w:hAnsi="宋体" w:eastAsiaTheme="minorEastAsia"/>
          <w:highlight w:val="none"/>
          <w:lang w:eastAsia="zh-CN"/>
        </w:rPr>
      </w:pPr>
      <w:r>
        <w:rPr>
          <w:highlight w:val="none"/>
        </w:rPr>
        <w:t>F1</w:t>
      </w:r>
      <w:r>
        <w:rPr>
          <w:rFonts w:ascii="宋体" w:hAnsi="宋体"/>
          <w:highlight w:val="none"/>
        </w:rPr>
        <w:t>、</w:t>
      </w:r>
      <w:r>
        <w:rPr>
          <w:highlight w:val="none"/>
        </w:rPr>
        <w:t>F2……Fn</w:t>
      </w:r>
      <w:r>
        <w:rPr>
          <w:rFonts w:ascii="宋体" w:hAnsi="宋体"/>
          <w:highlight w:val="none"/>
        </w:rPr>
        <w:t xml:space="preserve">分别为各项评审因素的得分； </w:t>
      </w:r>
    </w:p>
    <w:p>
      <w:pPr>
        <w:rPr>
          <w:rFonts w:hint="eastAsia" w:ascii="宋体" w:hAnsi="宋体" w:eastAsiaTheme="minorEastAsia"/>
          <w:highlight w:val="none"/>
          <w:lang w:eastAsia="zh-CN"/>
        </w:rPr>
      </w:pPr>
      <w:r>
        <w:rPr>
          <w:highlight w:val="none"/>
        </w:rPr>
        <w:t>A1</w:t>
      </w:r>
      <w:r>
        <w:rPr>
          <w:rFonts w:ascii="宋体" w:hAnsi="宋体"/>
          <w:highlight w:val="none"/>
        </w:rPr>
        <w:t>、</w:t>
      </w:r>
      <w:r>
        <w:rPr>
          <w:highlight w:val="none"/>
        </w:rPr>
        <w:t>A2</w:t>
      </w:r>
      <w:r>
        <w:rPr>
          <w:rFonts w:ascii="宋体" w:hAnsi="宋体"/>
          <w:highlight w:val="none"/>
        </w:rPr>
        <w:t>、</w:t>
      </w:r>
      <w:r>
        <w:rPr>
          <w:highlight w:val="none"/>
        </w:rPr>
        <w:t xml:space="preserve">……An </w:t>
      </w:r>
      <w:r>
        <w:rPr>
          <w:rFonts w:ascii="宋体" w:hAnsi="宋体"/>
          <w:highlight w:val="none"/>
        </w:rPr>
        <w:t>分别为各项评审因素所占的权重</w:t>
      </w:r>
      <w:r>
        <w:rPr>
          <w:highlight w:val="none"/>
        </w:rPr>
        <w:t>(A1</w:t>
      </w:r>
      <w:r>
        <w:rPr>
          <w:rFonts w:ascii="宋体" w:hAnsi="宋体"/>
          <w:highlight w:val="none"/>
        </w:rPr>
        <w:t>＋</w:t>
      </w:r>
      <w:r>
        <w:rPr>
          <w:highlight w:val="none"/>
        </w:rPr>
        <w:t>A2</w:t>
      </w:r>
      <w:r>
        <w:rPr>
          <w:rFonts w:ascii="宋体" w:hAnsi="宋体"/>
          <w:highlight w:val="none"/>
        </w:rPr>
        <w:t>＋</w:t>
      </w:r>
      <w:r>
        <w:rPr>
          <w:highlight w:val="none"/>
        </w:rPr>
        <w:t>……</w:t>
      </w:r>
      <w:r>
        <w:rPr>
          <w:rFonts w:ascii="宋体" w:hAnsi="宋体"/>
          <w:highlight w:val="none"/>
        </w:rPr>
        <w:t>＋</w:t>
      </w:r>
      <w:r>
        <w:rPr>
          <w:highlight w:val="none"/>
        </w:rPr>
        <w:t>An</w:t>
      </w:r>
      <w:r>
        <w:rPr>
          <w:rFonts w:ascii="宋体" w:hAnsi="宋体"/>
          <w:highlight w:val="none"/>
        </w:rPr>
        <w:t>＝</w:t>
      </w:r>
      <w:r>
        <w:rPr>
          <w:highlight w:val="none"/>
        </w:rPr>
        <w:t>1)</w:t>
      </w:r>
      <w:r>
        <w:rPr>
          <w:rFonts w:ascii="宋体" w:hAnsi="宋体"/>
          <w:highlight w:val="none"/>
        </w:rPr>
        <w:t xml:space="preserve">。 </w:t>
      </w:r>
    </w:p>
    <w:p>
      <w:pPr>
        <w:rPr>
          <w:rFonts w:hint="eastAsia" w:eastAsiaTheme="minorEastAsia"/>
          <w:highlight w:val="none"/>
          <w:lang w:eastAsia="zh-CN"/>
        </w:rPr>
      </w:pPr>
      <w:r>
        <w:rPr>
          <w:rFonts w:ascii="宋体" w:hAnsi="宋体"/>
          <w:highlight w:val="none"/>
        </w:rPr>
        <w:t>评标过程中，不得去掉报价中的最高报价和最低报价。</w:t>
      </w:r>
      <w:r>
        <w:rPr>
          <w:highlight w:val="none"/>
        </w:rPr>
        <w:t xml:space="preserve"> </w:t>
      </w:r>
    </w:p>
    <w:p>
      <w:pPr>
        <w:rPr>
          <w:highlight w:val="none"/>
        </w:rPr>
      </w:pPr>
      <w:r>
        <w:rPr>
          <w:rFonts w:hint="eastAsia"/>
          <w:highlight w:val="none"/>
        </w:rPr>
        <w:t>因落实政府采购政策进行价格调整的，以调整后的价格计算评标基准价和投标报价。</w:t>
      </w:r>
    </w:p>
    <w:tbl>
      <w:tblPr>
        <w:tblStyle w:val="16"/>
        <w:tblW w:w="92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20" w:type="dxa"/>
          <w:left w:w="108" w:type="dxa"/>
          <w:bottom w:w="20" w:type="dxa"/>
          <w:right w:w="108" w:type="dxa"/>
        </w:tblCellMar>
      </w:tblPr>
      <w:tblGrid>
        <w:gridCol w:w="700"/>
        <w:gridCol w:w="660"/>
        <w:gridCol w:w="1793"/>
        <w:gridCol w:w="639"/>
        <w:gridCol w:w="55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序号</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评分项</w:t>
            </w:r>
          </w:p>
        </w:tc>
        <w:tc>
          <w:tcPr>
            <w:tcW w:w="5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1</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价格</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2</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技术部分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default" w:ascii="宋体" w:hAnsi="宋体" w:cs="宋体" w:eastAsiaTheme="minorEastAsia"/>
                <w:b/>
                <w:bCs/>
                <w:szCs w:val="21"/>
                <w:highlight w:val="none"/>
                <w:lang w:val="en-US" w:eastAsia="zh-CN"/>
              </w:rPr>
            </w:pPr>
            <w:r>
              <w:rPr>
                <w:rFonts w:hint="eastAsia" w:ascii="宋体" w:hAnsi="宋体" w:cs="宋体" w:eastAsiaTheme="minorEastAsia"/>
                <w:b/>
                <w:bCs/>
                <w:szCs w:val="21"/>
                <w:highlight w:val="none"/>
                <w:lang w:val="en-US" w:eastAsia="zh-CN"/>
              </w:rPr>
              <w:t>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权重</w:t>
            </w:r>
            <w:r>
              <w:rPr>
                <w:rFonts w:hint="eastAsia" w:ascii="宋体" w:hAnsi="宋体" w:cs="宋体"/>
                <w:bCs/>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60" w:line="300" w:lineRule="exact"/>
              <w:jc w:val="center"/>
              <w:rPr>
                <w:rFonts w:ascii="宋体" w:hAnsi="宋体" w:cs="宋体"/>
                <w:b/>
                <w:szCs w:val="21"/>
                <w:highlight w:val="none"/>
              </w:rPr>
            </w:pPr>
            <w:r>
              <w:rPr>
                <w:rFonts w:hint="eastAsia" w:ascii="宋体" w:hAnsi="宋体"/>
                <w:szCs w:val="21"/>
                <w:highlight w:val="none"/>
              </w:rPr>
              <w:t>非“</w:t>
            </w:r>
            <w:r>
              <w:rPr>
                <w:rFonts w:hint="eastAsia" w:ascii="宋体" w:hAnsi="宋体"/>
                <w:bCs/>
                <w:szCs w:val="21"/>
                <w:highlight w:val="none"/>
              </w:rPr>
              <w:t>▲”参数</w:t>
            </w:r>
            <w:r>
              <w:rPr>
                <w:rFonts w:hint="eastAsia" w:ascii="宋体" w:hAnsi="宋体"/>
                <w:szCs w:val="21"/>
                <w:highlight w:val="none"/>
              </w:rPr>
              <w:t>响应情况评价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60" w:line="300" w:lineRule="exact"/>
              <w:jc w:val="center"/>
              <w:rPr>
                <w:rFonts w:ascii="宋体" w:hAnsi="宋体" w:cs="宋体" w:eastAsiaTheme="minorEastAsia"/>
                <w:szCs w:val="21"/>
                <w:highlight w:val="none"/>
              </w:rPr>
            </w:pPr>
            <w:r>
              <w:rPr>
                <w:rFonts w:hint="eastAsia" w:ascii="宋体" w:hAnsi="宋体"/>
                <w:szCs w:val="21"/>
                <w:highlight w:val="none"/>
              </w:rPr>
              <w:t>15</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widowControl/>
              <w:spacing w:line="300" w:lineRule="exact"/>
              <w:jc w:val="left"/>
              <w:rPr>
                <w:rFonts w:ascii="宋体" w:hAnsi="宋体" w:cs="宋体"/>
                <w:b/>
                <w:bCs/>
                <w:kern w:val="0"/>
                <w:szCs w:val="21"/>
                <w:highlight w:val="none"/>
              </w:rPr>
            </w:pPr>
            <w:r>
              <w:rPr>
                <w:rFonts w:hint="eastAsia" w:ascii="宋体" w:hAnsi="宋体" w:cs="宋体"/>
                <w:b/>
                <w:bCs/>
                <w:kern w:val="0"/>
                <w:szCs w:val="21"/>
                <w:highlight w:val="none"/>
              </w:rPr>
              <w:t>（一）评审内容：</w:t>
            </w:r>
          </w:p>
          <w:p>
            <w:pPr>
              <w:widowControl/>
              <w:spacing w:line="300" w:lineRule="exact"/>
              <w:jc w:val="left"/>
              <w:rPr>
                <w:rFonts w:ascii="宋体" w:hAnsi="宋体" w:cs="宋体"/>
                <w:kern w:val="0"/>
                <w:szCs w:val="21"/>
                <w:highlight w:val="none"/>
              </w:rPr>
            </w:pPr>
            <w:r>
              <w:rPr>
                <w:rFonts w:hint="eastAsia" w:ascii="宋体" w:hAnsi="宋体" w:cs="宋体"/>
                <w:kern w:val="0"/>
                <w:szCs w:val="21"/>
                <w:highlight w:val="none"/>
              </w:rPr>
              <w:t>考察投标人对招标文件</w:t>
            </w:r>
            <w:r>
              <w:rPr>
                <w:rFonts w:hint="eastAsia" w:ascii="宋体" w:hAnsi="宋体" w:cs="宋体"/>
                <w:b/>
                <w:bCs/>
                <w:kern w:val="0"/>
                <w:szCs w:val="21"/>
                <w:highlight w:val="none"/>
              </w:rPr>
              <w:t>《第一册 专用条款 第三章 用户需求书：五、技术要求部分》</w:t>
            </w:r>
            <w:r>
              <w:rPr>
                <w:rFonts w:hint="eastAsia" w:ascii="宋体" w:hAnsi="宋体" w:cs="宋体"/>
                <w:kern w:val="0"/>
                <w:szCs w:val="21"/>
                <w:highlight w:val="none"/>
              </w:rPr>
              <w:t>内容中的</w:t>
            </w:r>
            <w:r>
              <w:rPr>
                <w:rFonts w:hint="eastAsia" w:ascii="宋体" w:hAnsi="宋体" w:cs="宋体"/>
                <w:b/>
                <w:kern w:val="0"/>
                <w:szCs w:val="21"/>
                <w:highlight w:val="none"/>
              </w:rPr>
              <w:t>非“▲”参数响应</w:t>
            </w:r>
            <w:r>
              <w:rPr>
                <w:rFonts w:hint="eastAsia" w:ascii="宋体" w:hAnsi="宋体" w:cs="宋体"/>
                <w:kern w:val="0"/>
                <w:szCs w:val="21"/>
                <w:highlight w:val="none"/>
              </w:rPr>
              <w:t>情况。</w:t>
            </w:r>
          </w:p>
          <w:p>
            <w:pPr>
              <w:spacing w:line="300" w:lineRule="exact"/>
              <w:rPr>
                <w:rFonts w:ascii="宋体" w:hAnsi="宋体" w:cs="宋体"/>
                <w:b/>
                <w:bCs/>
                <w:color w:val="0000FF"/>
                <w:szCs w:val="21"/>
                <w:highlight w:val="none"/>
              </w:rPr>
            </w:pPr>
            <w:r>
              <w:rPr>
                <w:rFonts w:hint="eastAsia" w:ascii="宋体" w:hAnsi="宋体" w:cs="宋体"/>
                <w:b/>
                <w:bCs/>
                <w:color w:val="0000FF"/>
                <w:szCs w:val="21"/>
                <w:highlight w:val="none"/>
              </w:rPr>
              <w:t>（二）评审依据：</w:t>
            </w:r>
          </w:p>
          <w:p>
            <w:pPr>
              <w:spacing w:after="60" w:line="300" w:lineRule="exact"/>
              <w:rPr>
                <w:rFonts w:ascii="宋体" w:hAnsi="宋体" w:cs="宋体"/>
                <w:szCs w:val="21"/>
                <w:highlight w:val="none"/>
              </w:rPr>
            </w:pPr>
            <w:r>
              <w:rPr>
                <w:rFonts w:hint="eastAsia" w:ascii="宋体" w:hAnsi="宋体" w:cs="宋体"/>
                <w:color w:val="0000FF"/>
                <w:kern w:val="0"/>
                <w:szCs w:val="21"/>
                <w:highlight w:val="none"/>
              </w:rPr>
              <w:t>以投标文件《技术要求偏离表》为评审依据，完全符合招标要求的，得100分。有1项非“▲”参数不符合招标要求（或缺漏）的扣0.14分，最低得0分。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60" w:line="300" w:lineRule="exact"/>
              <w:jc w:val="center"/>
              <w:rPr>
                <w:rFonts w:ascii="宋体" w:hAnsi="宋体" w:cs="宋体"/>
                <w:b/>
                <w:szCs w:val="21"/>
                <w:highlight w:val="none"/>
              </w:rPr>
            </w:pPr>
            <w:r>
              <w:rPr>
                <w:rFonts w:hint="eastAsia" w:ascii="宋体" w:hAnsi="宋体"/>
                <w:bCs/>
                <w:szCs w:val="21"/>
                <w:highlight w:val="none"/>
              </w:rPr>
              <w:t>“▲”参数响应</w:t>
            </w:r>
            <w:r>
              <w:rPr>
                <w:rFonts w:ascii="宋体" w:hAnsi="宋体"/>
                <w:bCs/>
                <w:szCs w:val="21"/>
                <w:highlight w:val="none"/>
              </w:rPr>
              <w:t>情况评价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60" w:line="300" w:lineRule="exact"/>
              <w:jc w:val="center"/>
              <w:rPr>
                <w:rFonts w:ascii="宋体" w:hAnsi="宋体" w:cs="宋体" w:eastAsiaTheme="minorEastAsia"/>
                <w:szCs w:val="21"/>
                <w:highlight w:val="none"/>
              </w:rPr>
            </w:pPr>
            <w:r>
              <w:rPr>
                <w:rFonts w:hint="eastAsia" w:ascii="宋体" w:hAnsi="宋体"/>
                <w:szCs w:val="21"/>
                <w:highlight w:val="none"/>
              </w:rPr>
              <w:t>28</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widowControl/>
              <w:spacing w:line="300" w:lineRule="exact"/>
              <w:jc w:val="left"/>
              <w:rPr>
                <w:rFonts w:ascii="宋体" w:hAnsi="宋体" w:cs="宋体"/>
                <w:b/>
                <w:bCs/>
                <w:kern w:val="0"/>
                <w:szCs w:val="21"/>
                <w:highlight w:val="none"/>
              </w:rPr>
            </w:pPr>
            <w:r>
              <w:rPr>
                <w:rFonts w:hint="eastAsia" w:ascii="宋体" w:hAnsi="宋体" w:cs="宋体"/>
                <w:b/>
                <w:bCs/>
                <w:kern w:val="0"/>
                <w:szCs w:val="21"/>
                <w:highlight w:val="none"/>
              </w:rPr>
              <w:t>（一）评审内容：</w:t>
            </w:r>
          </w:p>
          <w:p>
            <w:pPr>
              <w:widowControl/>
              <w:spacing w:line="300" w:lineRule="exact"/>
              <w:jc w:val="left"/>
              <w:rPr>
                <w:rFonts w:ascii="宋体" w:hAnsi="宋体" w:cs="宋体"/>
                <w:kern w:val="0"/>
                <w:szCs w:val="21"/>
                <w:highlight w:val="none"/>
              </w:rPr>
            </w:pPr>
            <w:r>
              <w:rPr>
                <w:rFonts w:hint="eastAsia" w:ascii="宋体" w:hAnsi="宋体" w:cs="宋体"/>
                <w:kern w:val="0"/>
                <w:szCs w:val="21"/>
                <w:highlight w:val="none"/>
              </w:rPr>
              <w:t>考察投标人对招标文件</w:t>
            </w:r>
            <w:r>
              <w:rPr>
                <w:rFonts w:hint="eastAsia" w:ascii="宋体" w:hAnsi="宋体" w:cs="宋体"/>
                <w:b/>
                <w:bCs/>
                <w:kern w:val="0"/>
                <w:szCs w:val="21"/>
                <w:highlight w:val="none"/>
              </w:rPr>
              <w:t>《第一册 专用条款 第三章 用户需求书：五、技术要求部分》</w:t>
            </w:r>
            <w:r>
              <w:rPr>
                <w:rFonts w:hint="eastAsia" w:ascii="宋体" w:hAnsi="宋体" w:cs="宋体"/>
                <w:kern w:val="0"/>
                <w:szCs w:val="21"/>
                <w:highlight w:val="none"/>
              </w:rPr>
              <w:t>内容中的</w:t>
            </w:r>
            <w:r>
              <w:rPr>
                <w:rFonts w:hint="eastAsia" w:ascii="宋体" w:hAnsi="宋体" w:cs="宋体"/>
                <w:b/>
                <w:kern w:val="0"/>
                <w:szCs w:val="21"/>
                <w:highlight w:val="none"/>
              </w:rPr>
              <w:t>“▲”参数响应</w:t>
            </w:r>
            <w:r>
              <w:rPr>
                <w:rFonts w:hint="eastAsia" w:ascii="宋体" w:hAnsi="宋体" w:cs="宋体"/>
                <w:kern w:val="0"/>
                <w:szCs w:val="21"/>
                <w:highlight w:val="none"/>
              </w:rPr>
              <w:t>情况。</w:t>
            </w:r>
          </w:p>
          <w:p>
            <w:pPr>
              <w:spacing w:line="300" w:lineRule="exact"/>
              <w:rPr>
                <w:rFonts w:ascii="宋体" w:hAnsi="宋体" w:cs="宋体"/>
                <w:b/>
                <w:bCs/>
                <w:color w:val="0000FF"/>
                <w:szCs w:val="21"/>
                <w:highlight w:val="none"/>
              </w:rPr>
            </w:pPr>
            <w:r>
              <w:rPr>
                <w:rFonts w:hint="eastAsia" w:ascii="宋体" w:hAnsi="宋体" w:cs="宋体"/>
                <w:b/>
                <w:bCs/>
                <w:color w:val="0000FF"/>
                <w:szCs w:val="21"/>
                <w:highlight w:val="none"/>
              </w:rPr>
              <w:t>（二）评审依据：</w:t>
            </w:r>
          </w:p>
          <w:p>
            <w:pPr>
              <w:spacing w:after="60" w:line="300" w:lineRule="exact"/>
              <w:rPr>
                <w:rFonts w:ascii="宋体" w:hAnsi="宋体" w:cs="宋体"/>
                <w:szCs w:val="21"/>
                <w:highlight w:val="none"/>
              </w:rPr>
            </w:pPr>
            <w:r>
              <w:rPr>
                <w:rFonts w:hint="eastAsia" w:ascii="宋体" w:hAnsi="宋体" w:cs="宋体"/>
                <w:color w:val="0000FF"/>
                <w:kern w:val="0"/>
                <w:szCs w:val="21"/>
                <w:highlight w:val="none"/>
              </w:rPr>
              <w:t>以投标文件《技术要求偏离表》为评审依据，完全符合招标要求的，得100分。有1项“▲”参数不符合招标要求（或缺漏）的扣12.5分，最低得0分。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项目组织实施方案的评价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szCs w:val="21"/>
                <w:highlight w:val="none"/>
              </w:rPr>
            </w:pPr>
            <w:r>
              <w:rPr>
                <w:rFonts w:hint="eastAsia" w:ascii="宋体" w:hAnsi="宋体" w:cs="宋体"/>
                <w:b/>
                <w:szCs w:val="21"/>
                <w:highlight w:val="none"/>
              </w:rPr>
              <w:t>5</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1"/>
              </w:numPr>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 xml:space="preserve">评审内容：  </w:t>
            </w:r>
          </w:p>
          <w:p>
            <w:pPr>
              <w:autoSpaceDE w:val="0"/>
              <w:autoSpaceDN w:val="0"/>
              <w:adjustRightInd w:val="0"/>
              <w:spacing w:line="300" w:lineRule="exact"/>
              <w:jc w:val="left"/>
              <w:rPr>
                <w:rFonts w:ascii="宋体" w:hAnsi="宋体" w:cs="宋体"/>
                <w:szCs w:val="21"/>
                <w:highlight w:val="none"/>
              </w:rPr>
            </w:pPr>
            <w:r>
              <w:rPr>
                <w:rFonts w:hint="eastAsia" w:ascii="宋体" w:hAnsi="宋体" w:cs="宋体"/>
                <w:szCs w:val="21"/>
                <w:highlight w:val="none"/>
              </w:rPr>
              <w:t>投标人提供本项目的组织实施方案，方案中应包含：</w:t>
            </w:r>
          </w:p>
          <w:p>
            <w:pPr>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1、项目进度计划安排；</w:t>
            </w:r>
          </w:p>
          <w:p>
            <w:pPr>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2、施工组织计划；</w:t>
            </w:r>
          </w:p>
          <w:p>
            <w:pPr>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3、验收组织计划；</w:t>
            </w:r>
          </w:p>
          <w:p>
            <w:pPr>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 xml:space="preserve">4、产品培训方案。 </w:t>
            </w:r>
          </w:p>
          <w:p>
            <w:pPr>
              <w:autoSpaceDE w:val="0"/>
              <w:autoSpaceDN w:val="0"/>
              <w:adjustRightInd w:val="0"/>
              <w:spacing w:line="300" w:lineRule="exact"/>
              <w:jc w:val="left"/>
              <w:rPr>
                <w:rFonts w:ascii="宋体" w:hAnsi="宋体" w:cs="宋体"/>
                <w:b/>
                <w:bCs/>
                <w:color w:val="0000FF"/>
                <w:szCs w:val="21"/>
                <w:highlight w:val="none"/>
              </w:rPr>
            </w:pPr>
            <w:r>
              <w:rPr>
                <w:rFonts w:hint="eastAsia" w:ascii="宋体" w:hAnsi="宋体" w:cs="宋体"/>
                <w:b/>
                <w:bCs/>
                <w:color w:val="0000FF"/>
                <w:szCs w:val="21"/>
                <w:highlight w:val="none"/>
              </w:rPr>
              <w:t>（二）评审标准：</w:t>
            </w:r>
          </w:p>
          <w:p>
            <w:pPr>
              <w:autoSpaceDE w:val="0"/>
              <w:autoSpaceDN w:val="0"/>
              <w:adjustRightInd w:val="0"/>
              <w:spacing w:line="300" w:lineRule="exact"/>
              <w:jc w:val="left"/>
              <w:rPr>
                <w:rFonts w:ascii="宋体" w:hAnsi="宋体" w:cs="宋体"/>
                <w:color w:val="0000FF"/>
                <w:szCs w:val="21"/>
                <w:highlight w:val="none"/>
              </w:rPr>
            </w:pPr>
            <w:r>
              <w:rPr>
                <w:rFonts w:hint="eastAsia" w:ascii="宋体" w:hAnsi="宋体" w:cs="宋体"/>
                <w:color w:val="0000FF"/>
                <w:szCs w:val="21"/>
                <w:highlight w:val="none"/>
              </w:rPr>
              <w:t>方案中含有上述一个内容得15分，最高60分。</w:t>
            </w:r>
          </w:p>
          <w:p>
            <w:pPr>
              <w:autoSpaceDE w:val="0"/>
              <w:autoSpaceDN w:val="0"/>
              <w:adjustRightInd w:val="0"/>
              <w:spacing w:line="300" w:lineRule="exact"/>
              <w:jc w:val="left"/>
              <w:rPr>
                <w:rFonts w:ascii="宋体" w:hAnsi="宋体" w:cs="宋体"/>
                <w:color w:val="0000FF"/>
                <w:szCs w:val="21"/>
                <w:highlight w:val="none"/>
              </w:rPr>
            </w:pPr>
            <w:r>
              <w:rPr>
                <w:rFonts w:hint="eastAsia" w:ascii="宋体" w:hAnsi="宋体" w:cs="宋体"/>
                <w:color w:val="0000FF"/>
                <w:szCs w:val="21"/>
                <w:highlight w:val="none"/>
              </w:rPr>
              <w:t>在此基础上，对方案的合理性、可行性进行打分。</w:t>
            </w:r>
          </w:p>
          <w:p>
            <w:pPr>
              <w:autoSpaceDE w:val="0"/>
              <w:autoSpaceDN w:val="0"/>
              <w:adjustRightInd w:val="0"/>
              <w:spacing w:line="300" w:lineRule="exact"/>
              <w:jc w:val="left"/>
              <w:rPr>
                <w:rFonts w:ascii="宋体" w:hAnsi="宋体" w:cs="宋体"/>
                <w:color w:val="0000FF"/>
                <w:szCs w:val="21"/>
                <w:highlight w:val="none"/>
              </w:rPr>
            </w:pPr>
            <w:r>
              <w:rPr>
                <w:rFonts w:hint="eastAsia" w:ascii="宋体" w:hAnsi="宋体" w:cs="宋体"/>
                <w:color w:val="0000FF"/>
                <w:szCs w:val="21"/>
                <w:highlight w:val="none"/>
              </w:rPr>
              <w:t>1、方案清晰周密、合理可行、表述完整、方法得当、技术先进、符合相关规范要求得40分。</w:t>
            </w:r>
          </w:p>
          <w:p>
            <w:pPr>
              <w:autoSpaceDE w:val="0"/>
              <w:autoSpaceDN w:val="0"/>
              <w:adjustRightInd w:val="0"/>
              <w:spacing w:line="300" w:lineRule="exact"/>
              <w:jc w:val="left"/>
              <w:rPr>
                <w:rFonts w:ascii="宋体" w:hAnsi="宋体" w:cs="宋体"/>
                <w:color w:val="0000FF"/>
                <w:szCs w:val="21"/>
                <w:highlight w:val="none"/>
              </w:rPr>
            </w:pPr>
            <w:r>
              <w:rPr>
                <w:rFonts w:hint="eastAsia" w:ascii="宋体" w:hAnsi="宋体" w:cs="宋体"/>
                <w:color w:val="0000FF"/>
                <w:szCs w:val="21"/>
                <w:highlight w:val="none"/>
              </w:rPr>
              <w:t xml:space="preserve">2、方案基本可行表述基本完整得20分。 </w:t>
            </w:r>
          </w:p>
          <w:p>
            <w:pPr>
              <w:autoSpaceDE w:val="0"/>
              <w:autoSpaceDN w:val="0"/>
              <w:adjustRightInd w:val="0"/>
              <w:spacing w:line="300" w:lineRule="exact"/>
              <w:jc w:val="left"/>
              <w:rPr>
                <w:rFonts w:ascii="宋体" w:hAnsi="宋体" w:cs="宋体"/>
                <w:szCs w:val="21"/>
                <w:highlight w:val="none"/>
              </w:rPr>
            </w:pPr>
            <w:r>
              <w:rPr>
                <w:rFonts w:hint="eastAsia" w:ascii="宋体" w:hAnsi="宋体" w:cs="宋体"/>
                <w:color w:val="0000FF"/>
                <w:szCs w:val="21"/>
                <w:highlight w:val="none"/>
              </w:rPr>
              <w:t>3、未提供或方案计划不切合本项目的实际情况、合理完善性差、可行性差的对应项不得分。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售后服务评价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eastAsiaTheme="minorEastAsia"/>
                <w:szCs w:val="21"/>
                <w:highlight w:val="none"/>
              </w:rPr>
            </w:pPr>
            <w:r>
              <w:rPr>
                <w:rFonts w:hint="eastAsia" w:ascii="宋体" w:hAnsi="宋体" w:cs="宋体"/>
                <w:szCs w:val="21"/>
                <w:highlight w:val="none"/>
              </w:rPr>
              <w:t>9</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snapToGrid w:val="0"/>
              <w:rPr>
                <w:rFonts w:ascii="宋体" w:hAnsi="宋体" w:cs="宋体"/>
                <w:b/>
                <w:bCs/>
                <w:szCs w:val="21"/>
                <w:highlight w:val="none"/>
              </w:rPr>
            </w:pPr>
            <w:r>
              <w:rPr>
                <w:rFonts w:hint="eastAsia" w:ascii="宋体" w:hAnsi="宋体" w:cs="宋体"/>
                <w:b/>
                <w:bCs/>
                <w:szCs w:val="21"/>
                <w:highlight w:val="none"/>
              </w:rPr>
              <w:t>（一）评审内容：</w:t>
            </w:r>
          </w:p>
          <w:p>
            <w:pPr>
              <w:snapToGrid w:val="0"/>
              <w:rPr>
                <w:rFonts w:ascii="宋体" w:hAnsi="宋体" w:cs="宋体"/>
                <w:szCs w:val="21"/>
                <w:highlight w:val="none"/>
              </w:rPr>
            </w:pPr>
            <w:r>
              <w:rPr>
                <w:rFonts w:hint="eastAsia" w:ascii="宋体" w:hAnsi="宋体" w:cs="宋体"/>
                <w:szCs w:val="21"/>
                <w:highlight w:val="none"/>
              </w:rPr>
              <w:t xml:space="preserve">投标人提供本项目的售后服务方案，方案中应包含 </w:t>
            </w:r>
          </w:p>
          <w:p>
            <w:pPr>
              <w:snapToGrid w:val="0"/>
              <w:rPr>
                <w:rFonts w:ascii="宋体" w:hAnsi="宋体" w:cs="宋体"/>
                <w:b/>
                <w:bCs/>
                <w:szCs w:val="21"/>
                <w:highlight w:val="none"/>
              </w:rPr>
            </w:pPr>
            <w:r>
              <w:rPr>
                <w:rFonts w:hint="eastAsia" w:ascii="宋体" w:hAnsi="宋体" w:cs="宋体"/>
                <w:b/>
                <w:bCs/>
                <w:szCs w:val="21"/>
                <w:highlight w:val="none"/>
              </w:rPr>
              <w:t xml:space="preserve">1、服务内容； </w:t>
            </w:r>
          </w:p>
          <w:p>
            <w:pPr>
              <w:snapToGrid w:val="0"/>
              <w:rPr>
                <w:rFonts w:ascii="宋体" w:hAnsi="宋体" w:cs="宋体"/>
                <w:b/>
                <w:bCs/>
                <w:szCs w:val="21"/>
                <w:highlight w:val="none"/>
              </w:rPr>
            </w:pPr>
            <w:r>
              <w:rPr>
                <w:rFonts w:hint="eastAsia" w:ascii="宋体" w:hAnsi="宋体" w:cs="宋体"/>
                <w:b/>
                <w:bCs/>
                <w:szCs w:val="21"/>
                <w:highlight w:val="none"/>
              </w:rPr>
              <w:t xml:space="preserve">2、维修应急方案； </w:t>
            </w:r>
          </w:p>
          <w:p>
            <w:pPr>
              <w:snapToGrid w:val="0"/>
              <w:rPr>
                <w:rFonts w:ascii="宋体" w:hAnsi="宋体" w:cs="宋体"/>
                <w:b/>
                <w:bCs/>
                <w:szCs w:val="21"/>
                <w:highlight w:val="none"/>
              </w:rPr>
            </w:pPr>
            <w:r>
              <w:rPr>
                <w:rFonts w:hint="eastAsia" w:ascii="宋体" w:hAnsi="宋体" w:cs="宋体"/>
                <w:b/>
                <w:bCs/>
                <w:szCs w:val="21"/>
                <w:highlight w:val="none"/>
              </w:rPr>
              <w:t xml:space="preserve">3、培训计划； </w:t>
            </w:r>
          </w:p>
          <w:p>
            <w:pPr>
              <w:snapToGrid w:val="0"/>
              <w:rPr>
                <w:rFonts w:ascii="宋体" w:hAnsi="宋体" w:cs="宋体"/>
                <w:szCs w:val="21"/>
                <w:highlight w:val="none"/>
              </w:rPr>
            </w:pPr>
            <w:r>
              <w:rPr>
                <w:rFonts w:hint="eastAsia" w:ascii="宋体" w:hAnsi="宋体" w:cs="宋体"/>
                <w:b/>
                <w:bCs/>
                <w:szCs w:val="21"/>
                <w:highlight w:val="none"/>
              </w:rPr>
              <w:t>4、其他特色服务等。</w:t>
            </w:r>
            <w:r>
              <w:rPr>
                <w:rFonts w:hint="eastAsia" w:ascii="宋体" w:hAnsi="宋体" w:cs="宋体"/>
                <w:szCs w:val="21"/>
                <w:highlight w:val="none"/>
              </w:rPr>
              <w:t xml:space="preserve"> </w:t>
            </w:r>
          </w:p>
          <w:p>
            <w:pPr>
              <w:snapToGrid w:val="0"/>
              <w:rPr>
                <w:rFonts w:ascii="宋体" w:hAnsi="宋体" w:cs="宋体"/>
                <w:b/>
                <w:bCs/>
                <w:color w:val="0000FF"/>
                <w:szCs w:val="21"/>
                <w:highlight w:val="none"/>
              </w:rPr>
            </w:pPr>
            <w:r>
              <w:rPr>
                <w:rFonts w:hint="eastAsia" w:ascii="宋体" w:hAnsi="宋体" w:cs="宋体"/>
                <w:b/>
                <w:bCs/>
                <w:color w:val="0000FF"/>
                <w:szCs w:val="21"/>
                <w:highlight w:val="none"/>
              </w:rPr>
              <w:t>（二）评审标准：</w:t>
            </w:r>
          </w:p>
          <w:p>
            <w:pPr>
              <w:snapToGrid w:val="0"/>
              <w:rPr>
                <w:rFonts w:ascii="宋体" w:hAnsi="宋体" w:cs="宋体"/>
                <w:color w:val="0000FF"/>
                <w:szCs w:val="21"/>
                <w:highlight w:val="none"/>
              </w:rPr>
            </w:pPr>
            <w:r>
              <w:rPr>
                <w:rFonts w:hint="eastAsia" w:ascii="宋体" w:hAnsi="宋体" w:cs="宋体"/>
                <w:color w:val="0000FF"/>
                <w:szCs w:val="21"/>
                <w:highlight w:val="none"/>
              </w:rPr>
              <w:t>方案中含有上述一个内容得15分，最高60分。</w:t>
            </w:r>
          </w:p>
          <w:p>
            <w:pPr>
              <w:snapToGrid w:val="0"/>
              <w:rPr>
                <w:rFonts w:ascii="宋体" w:hAnsi="宋体" w:cs="宋体"/>
                <w:color w:val="0000FF"/>
                <w:szCs w:val="21"/>
                <w:highlight w:val="none"/>
              </w:rPr>
            </w:pPr>
            <w:r>
              <w:rPr>
                <w:rFonts w:hint="eastAsia" w:ascii="宋体" w:hAnsi="宋体" w:cs="宋体"/>
                <w:color w:val="0000FF"/>
                <w:szCs w:val="21"/>
                <w:highlight w:val="none"/>
              </w:rPr>
              <w:t xml:space="preserve">在此基础上，对方案的合理性、可行性进行打分。 </w:t>
            </w:r>
          </w:p>
          <w:p>
            <w:pPr>
              <w:snapToGrid w:val="0"/>
              <w:rPr>
                <w:rFonts w:ascii="宋体" w:hAnsi="宋体" w:cs="宋体"/>
                <w:color w:val="0000FF"/>
                <w:szCs w:val="21"/>
                <w:highlight w:val="none"/>
              </w:rPr>
            </w:pPr>
            <w:r>
              <w:rPr>
                <w:rFonts w:hint="eastAsia" w:ascii="宋体" w:hAnsi="宋体" w:cs="宋体"/>
                <w:color w:val="0000FF"/>
                <w:szCs w:val="21"/>
                <w:highlight w:val="none"/>
              </w:rPr>
              <w:t xml:space="preserve">(1)售后服务方案非常详细，保障措施完善可行，得40分； </w:t>
            </w:r>
          </w:p>
          <w:p>
            <w:pPr>
              <w:snapToGrid w:val="0"/>
              <w:rPr>
                <w:rFonts w:ascii="宋体" w:hAnsi="宋体" w:cs="宋体"/>
                <w:color w:val="0000FF"/>
                <w:szCs w:val="21"/>
                <w:highlight w:val="none"/>
              </w:rPr>
            </w:pPr>
            <w:r>
              <w:rPr>
                <w:rFonts w:hint="eastAsia" w:ascii="宋体" w:hAnsi="宋体" w:cs="宋体"/>
                <w:color w:val="0000FF"/>
                <w:szCs w:val="21"/>
                <w:highlight w:val="none"/>
              </w:rPr>
              <w:t>(2)售后服务方案比较具体，保障措施比较完善可行，能够满足招标文件要求的得20分；</w:t>
            </w:r>
          </w:p>
          <w:p>
            <w:pPr>
              <w:snapToGrid w:val="0"/>
              <w:rPr>
                <w:rFonts w:ascii="宋体" w:hAnsi="宋体" w:cs="宋体"/>
                <w:szCs w:val="21"/>
                <w:highlight w:val="none"/>
              </w:rPr>
            </w:pPr>
            <w:r>
              <w:rPr>
                <w:rFonts w:hint="eastAsia" w:ascii="宋体" w:hAnsi="宋体" w:cs="宋体"/>
                <w:color w:val="0000FF"/>
                <w:szCs w:val="21"/>
                <w:highlight w:val="none"/>
              </w:rPr>
              <w:t xml:space="preserve"> (3)未提供售后服务方案和措施或方案不详细、可行性较差，无法满足招标文件要求的得0分。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szCs w:val="21"/>
                <w:highlight w:val="none"/>
              </w:rPr>
            </w:pPr>
            <w:r>
              <w:rPr>
                <w:rFonts w:hint="eastAsia" w:ascii="宋体" w:hAnsi="宋体" w:cs="宋体"/>
                <w:szCs w:val="21"/>
                <w:highlight w:val="none"/>
              </w:rPr>
              <w:t>绿色采购情况</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szCs w:val="21"/>
                <w:highlight w:val="none"/>
              </w:rPr>
            </w:pPr>
            <w:r>
              <w:rPr>
                <w:rFonts w:hint="eastAsia" w:ascii="宋体" w:hAnsi="宋体" w:cs="宋体"/>
                <w:b/>
                <w:szCs w:val="21"/>
                <w:highlight w:val="none"/>
              </w:rPr>
              <w:t>1</w:t>
            </w:r>
          </w:p>
        </w:tc>
        <w:tc>
          <w:tcPr>
            <w:tcW w:w="5500" w:type="dxa"/>
            <w:tcBorders>
              <w:top w:val="single" w:color="000000" w:sz="8" w:space="0"/>
              <w:left w:val="single" w:color="000000" w:sz="8" w:space="0"/>
              <w:bottom w:val="single" w:color="000000" w:sz="8" w:space="0"/>
              <w:right w:val="single" w:color="000000" w:sz="8" w:space="0"/>
            </w:tcBorders>
            <w:shd w:val="clear" w:color="auto" w:fill="FFFFFF"/>
            <w:vAlign w:val="top"/>
          </w:tcPr>
          <w:p>
            <w:pPr>
              <w:autoSpaceDE w:val="0"/>
              <w:autoSpaceDN w:val="0"/>
              <w:adjustRightInd w:val="0"/>
              <w:spacing w:line="300" w:lineRule="exact"/>
              <w:rPr>
                <w:rFonts w:ascii="宋体" w:hAnsi="宋体" w:cs="宋体"/>
                <w:b/>
                <w:bCs/>
                <w:szCs w:val="21"/>
                <w:highlight w:val="none"/>
              </w:rPr>
            </w:pPr>
            <w:r>
              <w:rPr>
                <w:rFonts w:hint="eastAsia" w:ascii="宋体" w:hAnsi="宋体" w:cs="宋体"/>
                <w:b/>
                <w:bCs/>
                <w:szCs w:val="21"/>
                <w:highlight w:val="none"/>
              </w:rPr>
              <w:t>一、评审内容：</w:t>
            </w:r>
          </w:p>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本项目采购内容中需要对相关产品进行商品包装和快递包装，投标人承诺以下内容的得100分：</w:t>
            </w:r>
          </w:p>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所进行的商品包装和快递包装满足财政部《商品包装政府采购需求标准（试行）》《快递包装政府采购需求标准（试行）》（财办库〔2020〕123号）的要求，采用环保材料进行包装。</w:t>
            </w:r>
          </w:p>
          <w:p>
            <w:pPr>
              <w:snapToGrid w:val="0"/>
              <w:rPr>
                <w:rFonts w:ascii="宋体" w:hAnsi="宋体" w:cs="宋体"/>
                <w:b/>
                <w:bCs/>
                <w:color w:val="0000CC"/>
                <w:szCs w:val="21"/>
                <w:highlight w:val="none"/>
              </w:rPr>
            </w:pPr>
            <w:r>
              <w:rPr>
                <w:rFonts w:hint="eastAsia" w:ascii="宋体" w:hAnsi="宋体" w:cs="宋体"/>
                <w:b/>
                <w:bCs/>
                <w:color w:val="0000CC"/>
                <w:szCs w:val="21"/>
                <w:highlight w:val="none"/>
              </w:rPr>
              <w:t>二、评审依据：</w:t>
            </w:r>
          </w:p>
          <w:p>
            <w:pPr>
              <w:snapToGrid w:val="0"/>
              <w:rPr>
                <w:rFonts w:hint="eastAsia" w:ascii="宋体" w:hAnsi="宋体" w:cs="宋体"/>
                <w:color w:val="0000FF"/>
                <w:szCs w:val="21"/>
                <w:highlight w:val="none"/>
              </w:rPr>
            </w:pPr>
            <w:r>
              <w:rPr>
                <w:rFonts w:hint="eastAsia" w:ascii="宋体" w:hAnsi="宋体" w:cs="宋体"/>
                <w:color w:val="0000FF"/>
                <w:szCs w:val="21"/>
                <w:highlight w:val="none"/>
              </w:rPr>
              <w:t>提供相关承诺函（格式自定），未按要求提供证明材料（或证明材料无法判断是否符合评分要求）的不得分，原件备查。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szCs w:val="21"/>
                <w:highlight w:val="none"/>
              </w:rPr>
            </w:pPr>
            <w:r>
              <w:rPr>
                <w:rFonts w:hint="eastAsia" w:ascii="宋体" w:hAnsi="宋体" w:cs="宋体"/>
                <w:szCs w:val="21"/>
                <w:highlight w:val="none"/>
              </w:rPr>
              <w:t>政府采购节能环保产品</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szCs w:val="21"/>
                <w:highlight w:val="none"/>
              </w:rPr>
            </w:pPr>
            <w:r>
              <w:rPr>
                <w:rFonts w:hint="eastAsia" w:ascii="宋体" w:hAnsi="宋体" w:cs="宋体"/>
                <w:szCs w:val="21"/>
                <w:highlight w:val="none"/>
              </w:rPr>
              <w:t>1</w:t>
            </w:r>
          </w:p>
        </w:tc>
        <w:tc>
          <w:tcPr>
            <w:tcW w:w="5500" w:type="dxa"/>
            <w:tcBorders>
              <w:top w:val="single" w:color="000000" w:sz="8" w:space="0"/>
              <w:left w:val="single" w:color="000000" w:sz="8" w:space="0"/>
              <w:bottom w:val="single" w:color="000000" w:sz="8" w:space="0"/>
              <w:right w:val="single" w:color="000000" w:sz="8" w:space="0"/>
            </w:tcBorders>
            <w:shd w:val="clear" w:color="auto" w:fill="FFFFFF"/>
            <w:vAlign w:val="top"/>
          </w:tcPr>
          <w:p>
            <w:pPr>
              <w:snapToGrid w:val="0"/>
              <w:rPr>
                <w:rFonts w:ascii="宋体" w:hAnsi="宋体" w:cs="宋体"/>
                <w:szCs w:val="21"/>
                <w:highlight w:val="none"/>
              </w:rPr>
            </w:pPr>
            <w:r>
              <w:rPr>
                <w:rFonts w:hint="eastAsia" w:ascii="宋体" w:hAnsi="宋体" w:cs="宋体"/>
                <w:szCs w:val="21"/>
                <w:highlight w:val="none"/>
              </w:rPr>
              <w:t>一、评审内容：</w:t>
            </w:r>
          </w:p>
          <w:p>
            <w:pPr>
              <w:snapToGrid w:val="0"/>
              <w:rPr>
                <w:rFonts w:ascii="宋体" w:hAnsi="宋体" w:cs="宋体"/>
                <w:szCs w:val="21"/>
                <w:highlight w:val="none"/>
              </w:rPr>
            </w:pPr>
            <w:r>
              <w:rPr>
                <w:rFonts w:hint="eastAsia" w:ascii="宋体" w:hAnsi="宋体" w:cs="宋体"/>
                <w:szCs w:val="21"/>
                <w:highlight w:val="none"/>
              </w:rPr>
              <w:t>根据《关于印发节能产品政府采购品目清单的通知》（财库〔2019〕19号）以及《关于印发环境标志产品政府采购品目清单的通知》（财库〔2019〕18号）的要求，投标人所投任一产品（以招标文件第三章 用户需求书 二、货物需求明细中“货物名称”为准）被列入节能产品政府采购品目清单（已标注“★”号属政府强制采购产品需具有节能产品认证证书的除外）或环境标志产品政府采购品目清单，且具有有效期内的节能产品或环境标志产品认证证书的，每提供1项得100分，最高得100分。</w:t>
            </w:r>
          </w:p>
          <w:p>
            <w:pPr>
              <w:snapToGrid w:val="0"/>
              <w:rPr>
                <w:rFonts w:ascii="宋体" w:hAnsi="宋体" w:cs="宋体"/>
                <w:szCs w:val="21"/>
                <w:highlight w:val="none"/>
              </w:rPr>
            </w:pPr>
            <w:r>
              <w:rPr>
                <w:rFonts w:hint="eastAsia" w:ascii="宋体" w:hAnsi="宋体" w:cs="宋体"/>
                <w:szCs w:val="21"/>
                <w:highlight w:val="none"/>
              </w:rPr>
              <w:t>二、评审依据：</w:t>
            </w:r>
          </w:p>
          <w:p>
            <w:pPr>
              <w:snapToGrid w:val="0"/>
              <w:rPr>
                <w:rFonts w:ascii="宋体" w:hAnsi="宋体" w:cs="宋体"/>
                <w:szCs w:val="21"/>
                <w:highlight w:val="none"/>
              </w:rPr>
            </w:pPr>
            <w:r>
              <w:rPr>
                <w:rFonts w:hint="eastAsia" w:ascii="宋体" w:hAnsi="宋体" w:cs="宋体"/>
                <w:szCs w:val="21"/>
                <w:highlight w:val="none"/>
              </w:rPr>
              <w:t>1、提供《市场监管总局关于发布参与实施政府采购节能产品、环境标志产品认证机构名录的公告》（2019年第16号）确定的认证机构出具的且处于有效期内的节能产品或环境标志产品认证证书扫描件；</w:t>
            </w:r>
          </w:p>
          <w:p>
            <w:pPr>
              <w:snapToGrid w:val="0"/>
              <w:rPr>
                <w:rFonts w:hint="eastAsia" w:ascii="宋体" w:hAnsi="宋体" w:cs="宋体"/>
                <w:color w:val="0000FF"/>
                <w:szCs w:val="21"/>
                <w:highlight w:val="none"/>
              </w:rPr>
            </w:pPr>
            <w:r>
              <w:rPr>
                <w:rFonts w:hint="eastAsia" w:ascii="宋体" w:hAnsi="宋体" w:cs="宋体"/>
                <w:szCs w:val="21"/>
                <w:highlight w:val="none"/>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3</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b/>
                <w:bCs/>
                <w:szCs w:val="21"/>
                <w:highlight w:val="none"/>
              </w:rPr>
              <w:t>商务</w:t>
            </w:r>
            <w:r>
              <w:rPr>
                <w:rFonts w:hint="eastAsia" w:ascii="宋体" w:hAnsi="宋体" w:cs="宋体"/>
                <w:b/>
                <w:bCs/>
                <w:szCs w:val="21"/>
                <w:highlight w:val="none"/>
              </w:rPr>
              <w:t>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hint="eastAsia" w:ascii="宋体" w:hAnsi="宋体" w:cs="宋体" w:eastAsiaTheme="minorEastAsia"/>
                <w:b/>
                <w:bCs/>
                <w:szCs w:val="21"/>
                <w:highlight w:val="none"/>
                <w:lang w:eastAsia="zh-CN"/>
              </w:rPr>
            </w:pPr>
            <w:r>
              <w:rPr>
                <w:rFonts w:hint="eastAsia" w:ascii="宋体" w:hAnsi="宋体" w:cs="宋体" w:eastAsiaTheme="minorEastAsia"/>
                <w:b/>
                <w:bCs/>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权重</w:t>
            </w:r>
            <w:r>
              <w:rPr>
                <w:rFonts w:hint="eastAsia" w:ascii="宋体" w:hAnsi="宋体" w:cs="宋体"/>
                <w:bCs/>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经验评价</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pStyle w:val="8"/>
              <w:spacing w:line="320" w:lineRule="exact"/>
              <w:rPr>
                <w:rFonts w:ascii="宋体" w:hAnsi="宋体" w:cs="宋体" w:eastAsiaTheme="minorEastAsia"/>
                <w:szCs w:val="21"/>
                <w:highlight w:val="none"/>
              </w:rPr>
            </w:pPr>
            <w:r>
              <w:rPr>
                <w:rFonts w:hint="eastAsia" w:ascii="宋体" w:hAnsi="宋体" w:cs="宋体" w:eastAsiaTheme="minorEastAsia"/>
                <w:szCs w:val="21"/>
                <w:highlight w:val="none"/>
              </w:rPr>
              <w:t>2021年1月1日（以合同签订日期为准）以后，投标人具有与本项目同类（教学仪器类）项目经验，每提供一个得50分，最高得100分。</w:t>
            </w:r>
          </w:p>
          <w:p>
            <w:pPr>
              <w:pStyle w:val="8"/>
              <w:spacing w:line="320" w:lineRule="exact"/>
              <w:rPr>
                <w:rFonts w:ascii="宋体" w:hAnsi="宋体" w:cs="微软雅黑"/>
                <w:b/>
                <w:bCs/>
                <w:color w:val="0000FF"/>
                <w:kern w:val="0"/>
                <w:szCs w:val="21"/>
                <w:highlight w:val="none"/>
                <w:lang w:bidi="ar"/>
              </w:rPr>
            </w:pPr>
            <w:r>
              <w:rPr>
                <w:rFonts w:hint="eastAsia" w:ascii="宋体" w:hAnsi="宋体" w:cs="微软雅黑"/>
                <w:b/>
                <w:bCs/>
                <w:color w:val="0000FF"/>
                <w:kern w:val="0"/>
                <w:szCs w:val="21"/>
                <w:highlight w:val="none"/>
                <w:lang w:bidi="ar"/>
              </w:rPr>
              <w:t>证明材料：</w:t>
            </w:r>
          </w:p>
          <w:p>
            <w:pPr>
              <w:pStyle w:val="8"/>
              <w:spacing w:line="320" w:lineRule="exact"/>
              <w:rPr>
                <w:rFonts w:ascii="宋体" w:hAnsi="宋体" w:cs="微软雅黑"/>
                <w:color w:val="0000FF"/>
                <w:kern w:val="0"/>
                <w:szCs w:val="21"/>
                <w:highlight w:val="none"/>
                <w:lang w:bidi="ar"/>
              </w:rPr>
            </w:pPr>
            <w:r>
              <w:rPr>
                <w:rFonts w:hint="eastAsia" w:ascii="宋体" w:hAnsi="宋体" w:cs="微软雅黑"/>
                <w:color w:val="0000FF"/>
                <w:kern w:val="0"/>
                <w:szCs w:val="21"/>
                <w:highlight w:val="none"/>
                <w:lang w:bidi="ar"/>
              </w:rPr>
              <w:t>1、同时提供以下：</w:t>
            </w:r>
          </w:p>
          <w:p>
            <w:pPr>
              <w:snapToGrid w:val="0"/>
              <w:rPr>
                <w:rFonts w:ascii="宋体" w:hAnsi="宋体" w:cs="微软雅黑"/>
                <w:color w:val="0000FF"/>
                <w:kern w:val="0"/>
                <w:szCs w:val="21"/>
                <w:highlight w:val="none"/>
                <w:lang w:bidi="ar"/>
              </w:rPr>
            </w:pPr>
            <w:r>
              <w:rPr>
                <w:rFonts w:hint="eastAsia" w:ascii="宋体" w:hAnsi="宋体" w:cs="微软雅黑"/>
                <w:color w:val="0000FF"/>
                <w:kern w:val="0"/>
                <w:szCs w:val="21"/>
                <w:highlight w:val="none"/>
                <w:lang w:bidi="ar"/>
              </w:rPr>
              <w:t>（1）合同关键页扫描件；（2）设备配置清单扫描件；（3）验收报告[加盖合同甲方公章（或甲方业务章）]。</w:t>
            </w:r>
          </w:p>
          <w:p>
            <w:pPr>
              <w:snapToGrid w:val="0"/>
              <w:rPr>
                <w:rFonts w:ascii="宋体" w:hAnsi="宋体" w:cs="微软雅黑"/>
                <w:color w:val="0000FF"/>
                <w:kern w:val="0"/>
                <w:szCs w:val="21"/>
                <w:highlight w:val="none"/>
                <w:lang w:bidi="ar"/>
              </w:rPr>
            </w:pPr>
            <w:r>
              <w:rPr>
                <w:rFonts w:hint="eastAsia" w:ascii="宋体" w:hAnsi="宋体" w:cs="微软雅黑"/>
                <w:color w:val="0000FF"/>
                <w:kern w:val="0"/>
                <w:szCs w:val="21"/>
                <w:highlight w:val="none"/>
                <w:lang w:bidi="ar"/>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4</w:t>
            </w:r>
          </w:p>
        </w:tc>
        <w:tc>
          <w:tcPr>
            <w:tcW w:w="3092" w:type="dxa"/>
            <w:gridSpan w:val="3"/>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其他部分</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snapToGrid w:val="0"/>
              <w:jc w:val="center"/>
              <w:rPr>
                <w:rFonts w:ascii="宋体" w:hAnsi="宋体" w:cs="宋体"/>
                <w:b/>
                <w:bCs/>
                <w:szCs w:val="21"/>
                <w:highlight w:val="none"/>
              </w:rPr>
            </w:pPr>
            <w:r>
              <w:rPr>
                <w:rFonts w:hint="eastAsia" w:ascii="宋体" w:hAnsi="宋体" w:cs="宋体"/>
                <w:b/>
                <w:bCs/>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评分因素</w:t>
            </w:r>
          </w:p>
        </w:tc>
        <w:tc>
          <w:tcPr>
            <w:tcW w:w="639"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权重</w:t>
            </w:r>
            <w:r>
              <w:rPr>
                <w:rFonts w:hint="eastAsia" w:ascii="宋体" w:hAnsi="宋体" w:cs="宋体"/>
                <w:bCs/>
                <w:szCs w:val="21"/>
                <w:highlight w:val="none"/>
              </w:rPr>
              <w:t>（%）</w:t>
            </w:r>
          </w:p>
        </w:tc>
        <w:tc>
          <w:tcPr>
            <w:tcW w:w="55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20" w:type="dxa"/>
            <w:left w:w="108" w:type="dxa"/>
            <w:bottom w:w="20" w:type="dxa"/>
            <w:right w:w="108" w:type="dxa"/>
          </w:tblCellMar>
        </w:tblPrEx>
        <w:trPr>
          <w:trHeight w:val="90" w:hRule="atLeast"/>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宋体" w:hAnsi="宋体" w:cs="宋体"/>
                <w:b/>
                <w:bCs/>
                <w:szCs w:val="21"/>
                <w:highlight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诚信情况</w:t>
            </w:r>
          </w:p>
        </w:tc>
        <w:tc>
          <w:tcPr>
            <w:tcW w:w="6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550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投标人存在</w:t>
            </w:r>
            <w:r>
              <w:rPr>
                <w:rFonts w:hint="eastAsia" w:ascii="宋体" w:hAnsi="宋体" w:eastAsia="宋体" w:cs="宋体"/>
                <w:b/>
                <w:bCs/>
                <w:sz w:val="21"/>
                <w:szCs w:val="21"/>
                <w:highlight w:val="none"/>
              </w:rPr>
              <w:t>《深圳市财政局政府采购供应商信用信息管理办法》</w:t>
            </w:r>
            <w:r>
              <w:rPr>
                <w:rFonts w:hint="eastAsia" w:ascii="宋体" w:hAnsi="宋体" w:eastAsia="宋体" w:cs="宋体"/>
                <w:sz w:val="21"/>
                <w:szCs w:val="21"/>
                <w:highlight w:val="none"/>
              </w:rPr>
              <w:t>（深财规〔2023〕3号）列明的</w:t>
            </w:r>
            <w:r>
              <w:rPr>
                <w:rFonts w:hint="eastAsia" w:ascii="宋体" w:hAnsi="宋体" w:eastAsia="宋体" w:cs="宋体"/>
                <w:b/>
                <w:bCs/>
                <w:sz w:val="21"/>
                <w:szCs w:val="21"/>
                <w:highlight w:val="none"/>
              </w:rPr>
              <w:t>一般行政处罚信息</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一般违法失信</w:t>
            </w:r>
            <w:r>
              <w:rPr>
                <w:rFonts w:hint="eastAsia" w:ascii="宋体" w:hAnsi="宋体" w:eastAsia="宋体" w:cs="宋体"/>
                <w:b/>
                <w:bCs/>
                <w:sz w:val="21"/>
                <w:szCs w:val="21"/>
                <w:highlight w:val="none"/>
                <w:lang w:val="en-US" w:eastAsia="zh-CN"/>
              </w:rPr>
              <w:t>行为</w:t>
            </w:r>
            <w:r>
              <w:rPr>
                <w:rFonts w:hint="eastAsia" w:ascii="宋体" w:hAnsi="宋体" w:eastAsia="宋体" w:cs="宋体"/>
                <w:b/>
                <w:bCs/>
                <w:sz w:val="21"/>
                <w:szCs w:val="21"/>
                <w:highlight w:val="none"/>
              </w:rPr>
              <w:t>记录信息</w:t>
            </w:r>
            <w:r>
              <w:rPr>
                <w:rFonts w:hint="eastAsia" w:ascii="宋体" w:hAnsi="宋体" w:eastAsia="宋体" w:cs="宋体"/>
                <w:sz w:val="21"/>
                <w:szCs w:val="21"/>
                <w:highlight w:val="none"/>
              </w:rPr>
              <w:t>的，本项不得分，不存在上述情形的本项得100分。投标人无需提供任何证明材料，评标过程中由工作人员向评审委员会提供有关供应商诚信查询结果。</w:t>
            </w:r>
          </w:p>
          <w:p>
            <w:pPr>
              <w:snapToGrid w:val="0"/>
              <w:rPr>
                <w:rFonts w:ascii="宋体" w:hAnsi="宋体" w:cs="宋体"/>
                <w:szCs w:val="21"/>
                <w:highlight w:val="none"/>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rPr>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rFonts w:hint="eastAsia"/>
          <w:b/>
          <w:sz w:val="120"/>
          <w:szCs w:val="120"/>
          <w:highlight w:val="none"/>
        </w:rPr>
      </w:pPr>
    </w:p>
    <w:p>
      <w:pPr>
        <w:jc w:val="both"/>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（货物类）</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b/>
          <w:sz w:val="44"/>
          <w:szCs w:val="44"/>
          <w:highlight w:val="none"/>
        </w:rPr>
      </w:pPr>
      <w:r>
        <w:rPr>
          <w:rFonts w:hint="eastAsia" w:ascii="宋体" w:hAnsi="宋体"/>
          <w:b/>
          <w:sz w:val="44"/>
          <w:szCs w:val="44"/>
          <w:highlight w:val="none"/>
        </w:rPr>
        <w:t>深圳公共资源交易中心</w:t>
      </w:r>
    </w:p>
    <w:p>
      <w:pPr>
        <w:jc w:val="center"/>
        <w:rPr>
          <w:b/>
          <w:sz w:val="44"/>
          <w:szCs w:val="44"/>
          <w:highlight w:val="none"/>
        </w:rPr>
      </w:pPr>
      <w:r>
        <w:rPr>
          <w:rFonts w:hint="eastAsia" w:ascii="宋体" w:hAnsi="宋体"/>
          <w:b/>
          <w:sz w:val="44"/>
          <w:szCs w:val="44"/>
          <w:highlight w:val="none"/>
        </w:rPr>
        <w:t>（</w:t>
      </w:r>
      <w:r>
        <w:rPr>
          <w:b/>
          <w:sz w:val="44"/>
          <w:szCs w:val="44"/>
          <w:highlight w:val="none"/>
        </w:rPr>
        <w:t>20</w:t>
      </w:r>
      <w:r>
        <w:rPr>
          <w:rFonts w:hint="eastAsia"/>
          <w:b/>
          <w:sz w:val="44"/>
          <w:szCs w:val="44"/>
          <w:highlight w:val="none"/>
        </w:rPr>
        <w:t>2</w:t>
      </w:r>
      <w:r>
        <w:rPr>
          <w:rFonts w:hint="eastAsia"/>
          <w:b/>
          <w:sz w:val="44"/>
          <w:szCs w:val="44"/>
          <w:highlight w:val="none"/>
          <w:lang w:val="en-US" w:eastAsia="zh-CN"/>
        </w:rPr>
        <w:t>4</w:t>
      </w:r>
      <w:r>
        <w:rPr>
          <w:rFonts w:hint="eastAsia" w:ascii="宋体" w:hAnsi="宋体"/>
          <w:b/>
          <w:sz w:val="44"/>
          <w:szCs w:val="44"/>
          <w:highlight w:val="none"/>
        </w:rPr>
        <w:t>）</w:t>
      </w:r>
    </w:p>
    <w:p>
      <w:pPr>
        <w:ind w:firstLine="6786" w:firstLineChars="1300"/>
        <w:jc w:val="center"/>
        <w:rPr>
          <w:bCs/>
          <w:color w:val="FF0000"/>
          <w:highlight w:val="none"/>
        </w:rPr>
      </w:pPr>
      <w:r>
        <w:rPr>
          <w:rFonts w:hint="eastAsia"/>
          <w:b/>
          <w:color w:val="FF0000"/>
          <w:sz w:val="52"/>
          <w:szCs w:val="52"/>
          <w:highlight w:val="none"/>
        </w:rPr>
        <w:br w:type="page"/>
      </w:r>
    </w:p>
    <w:p>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ascii="宋体" w:hAnsi="宋体"/>
          <w:color w:val="FF0000"/>
          <w:szCs w:val="21"/>
          <w:highlight w:val="none"/>
        </w:rPr>
      </w:pPr>
      <w:bookmarkStart w:id="1" w:name="_Hlk73564573"/>
      <w:r>
        <w:rPr>
          <w:rFonts w:hint="eastAsia" w:ascii="宋体" w:hAnsi="宋体" w:eastAsia="黑体"/>
          <w:b/>
          <w:bCs/>
          <w:color w:val="FF0000"/>
          <w:kern w:val="44"/>
          <w:sz w:val="28"/>
          <w:szCs w:val="44"/>
          <w:highlight w:val="none"/>
        </w:rPr>
        <w:t>警示条款</w:t>
      </w:r>
    </w:p>
    <w:bookmarkEnd w:id="1"/>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w:t>
      </w:r>
      <w:r>
        <w:rPr>
          <w:rFonts w:hint="eastAsia" w:ascii="宋体" w:hAnsi="宋体"/>
          <w:b/>
          <w:bCs/>
          <w:color w:val="FF0000"/>
          <w:sz w:val="21"/>
          <w:szCs w:val="21"/>
          <w:highlight w:val="none"/>
        </w:rPr>
        <w:t>《深圳经济特区政府采购条例》第五十七条</w:t>
      </w:r>
      <w:r>
        <w:rPr>
          <w:rFonts w:hint="eastAsia" w:ascii="宋体" w:hAnsi="宋体"/>
          <w:color w:val="FF0000"/>
          <w:sz w:val="21"/>
          <w:szCs w:val="21"/>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（一）在采购活动中应当回避而未回避的；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（三）隐瞒真实情况，提供虚假资料的；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（四）以非法手段排斥其他供应商参与竞争的；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（五）与其他采购参加人串通投标的；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（六）恶意投诉的；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（八）阻碍、抗拒主管部门监督检查的；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（九）其他违反本条例规定的行为。</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二、《深圳经济特区政府采购条例实施细则》第七十五条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w:t>
      </w:r>
      <w:r>
        <w:rPr>
          <w:rFonts w:hint="eastAsia" w:ascii="宋体" w:hAnsi="宋体"/>
          <w:color w:val="FF0000"/>
          <w:sz w:val="21"/>
          <w:szCs w:val="21"/>
          <w:highlight w:val="none"/>
          <w:lang w:val="en-US" w:eastAsia="zh-CN"/>
        </w:rPr>
        <w:t>之一</w:t>
      </w:r>
      <w:r>
        <w:rPr>
          <w:rFonts w:hint="eastAsia" w:ascii="宋体" w:hAnsi="宋体"/>
          <w:color w:val="FF0000"/>
          <w:sz w:val="21"/>
          <w:szCs w:val="21"/>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（三）不同投标供应商的投标文件由同一单位或者同一人编制，或者由同一人分阶段参与编制的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（四）不同投标供应商的投标文件或部分投标文件相互混装</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（五）不同投标供应商的投标文件内容存在非正常一致</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（六）由同一单位工作人员为两家以上（含两家）供应商进行同一项投标活动的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（七）主管部门依照法律、法规认定的其他情形。</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三、《深圳经济特区政府采购条例实施细则》第七十七条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供应商有下列情形之一的，属于隐瞒真实情况，提供虚假资料，按照采购条例第五十七</w:t>
      </w:r>
      <w:r>
        <w:rPr>
          <w:rFonts w:hint="eastAsia" w:ascii="宋体" w:hAnsi="宋体"/>
          <w:color w:val="FF0000"/>
          <w:sz w:val="21"/>
          <w:szCs w:val="21"/>
          <w:highlight w:val="none"/>
          <w:lang w:val="en-US" w:eastAsia="zh-CN"/>
        </w:rPr>
        <w:t>条</w:t>
      </w:r>
      <w:r>
        <w:rPr>
          <w:rFonts w:hint="eastAsia" w:ascii="宋体" w:hAnsi="宋体"/>
          <w:color w:val="FF0000"/>
          <w:sz w:val="21"/>
          <w:szCs w:val="21"/>
          <w:highlight w:val="none"/>
        </w:rPr>
        <w:t>的有关规定处理：（一）通过转让或者租借等方式从其他单位获取资格或者资质证书投标的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（二）由其他单位或者其他单位负责人在投标供应商编制的投标文件上加盖印章或者签字的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（三）项目负责人或者主要技术人员不是本单位人员的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（四）投标保证金不是从投标供应商基本账户转出的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（五）其他隐瞒真实情况、提供虚假资料的行为。</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eastAsia"/>
          <w:b/>
          <w:color w:val="FF0000"/>
          <w:sz w:val="21"/>
          <w:szCs w:val="21"/>
          <w:highlight w:val="none"/>
        </w:rPr>
      </w:pPr>
      <w:r>
        <w:rPr>
          <w:rFonts w:hint="eastAsia"/>
          <w:b/>
          <w:color w:val="FF0000"/>
          <w:sz w:val="21"/>
          <w:szCs w:val="21"/>
          <w:highlight w:val="none"/>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b w:val="0"/>
          <w:bCs/>
          <w:color w:val="FF0000"/>
          <w:sz w:val="21"/>
          <w:szCs w:val="21"/>
          <w:highlight w:val="none"/>
          <w:lang w:val="en-US" w:eastAsia="zh-CN"/>
        </w:rPr>
      </w:pPr>
      <w:r>
        <w:rPr>
          <w:rFonts w:hint="eastAsia"/>
          <w:b w:val="0"/>
          <w:bCs/>
          <w:color w:val="FF0000"/>
          <w:sz w:val="21"/>
          <w:szCs w:val="21"/>
          <w:highlight w:val="none"/>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1"/>
          <w:szCs w:val="21"/>
          <w:highlight w:val="none"/>
        </w:rPr>
        <w:t>取消参与本市政府采购资格</w:t>
      </w:r>
      <w:r>
        <w:rPr>
          <w:rFonts w:hint="eastAsia" w:hAnsi="宋体"/>
          <w:color w:val="FF0000"/>
          <w:sz w:val="21"/>
          <w:szCs w:val="21"/>
          <w:highlight w:val="none"/>
          <w:lang w:eastAsia="zh-CN"/>
        </w:rPr>
        <w:t>、</w:t>
      </w:r>
      <w:r>
        <w:rPr>
          <w:rFonts w:hint="eastAsia" w:ascii="宋体" w:hAnsi="宋体"/>
          <w:color w:val="FF0000"/>
          <w:sz w:val="21"/>
          <w:szCs w:val="21"/>
          <w:highlight w:val="none"/>
        </w:rPr>
        <w:t>依法吊销其营业</w:t>
      </w:r>
      <w:r>
        <w:rPr>
          <w:rFonts w:hint="eastAsia" w:hAnsi="宋体"/>
          <w:color w:val="FF0000"/>
          <w:sz w:val="21"/>
          <w:szCs w:val="21"/>
          <w:highlight w:val="none"/>
          <w:lang w:val="en-US" w:eastAsia="zh-CN"/>
        </w:rPr>
        <w:t>执照等行政处罚，</w:t>
      </w:r>
      <w:r>
        <w:rPr>
          <w:rFonts w:hint="eastAsia" w:ascii="宋体" w:hAnsi="宋体"/>
          <w:color w:val="FF0000"/>
          <w:sz w:val="21"/>
          <w:szCs w:val="21"/>
          <w:highlight w:val="none"/>
        </w:rPr>
        <w:t>构成犯罪的，依法追究刑事责任</w:t>
      </w:r>
      <w:r>
        <w:rPr>
          <w:rFonts w:hint="eastAsia"/>
          <w:b w:val="0"/>
          <w:bCs/>
          <w:color w:val="FF0000"/>
          <w:sz w:val="21"/>
          <w:szCs w:val="21"/>
          <w:highlight w:val="none"/>
          <w:lang w:val="en-US" w:eastAsia="zh-CN"/>
        </w:rPr>
        <w:t>，请各供应商独立编制、上传投标文件，妥善保管和使用电子秘钥。</w:t>
      </w:r>
    </w:p>
    <w:p>
      <w:pPr>
        <w:snapToGrid w:val="0"/>
        <w:spacing w:line="360" w:lineRule="exact"/>
        <w:jc w:val="left"/>
        <w:rPr>
          <w:rFonts w:ascii="宋体" w:hAnsi="宋体" w:eastAsia="宋体" w:cs="宋体"/>
          <w:color w:val="000000"/>
          <w:kern w:val="0"/>
          <w:sz w:val="24"/>
          <w:szCs w:val="24"/>
          <w:highlight w:val="none"/>
        </w:rPr>
      </w:pPr>
    </w:p>
    <w:p>
      <w:pPr>
        <w:snapToGrid w:val="0"/>
        <w:spacing w:line="360" w:lineRule="exact"/>
        <w:jc w:val="left"/>
        <w:rPr>
          <w:rFonts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highlight w:val="none"/>
        </w:rPr>
      </w:pPr>
      <w:r>
        <w:rPr>
          <w:rFonts w:hint="eastAsia" w:ascii="Arial" w:hAnsi="Arial" w:eastAsia="宋体" w:cs="Times New Roman"/>
          <w:b/>
          <w:bCs/>
          <w:kern w:val="44"/>
          <w:sz w:val="32"/>
          <w:szCs w:val="32"/>
          <w:highlight w:val="none"/>
        </w:rPr>
        <w:t>目   录</w:t>
      </w:r>
    </w:p>
    <w:p>
      <w:pPr>
        <w:rPr>
          <w:b/>
          <w:sz w:val="24"/>
          <w:szCs w:val="24"/>
          <w:highlight w:val="none"/>
        </w:rPr>
      </w:pPr>
      <w:r>
        <w:rPr>
          <w:rFonts w:hint="eastAsia"/>
          <w:b/>
          <w:sz w:val="24"/>
          <w:szCs w:val="24"/>
          <w:highlight w:val="none"/>
        </w:rPr>
        <w:t>第一册  专用条款</w:t>
      </w:r>
    </w:p>
    <w:p>
      <w:pPr>
        <w:ind w:left="630" w:leftChars="300" w:firstLine="411" w:firstLineChars="196"/>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411" w:firstLineChars="196"/>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rPr>
          <w:b/>
          <w:sz w:val="24"/>
          <w:szCs w:val="24"/>
          <w:highlight w:val="none"/>
        </w:rPr>
      </w:pPr>
      <w:r>
        <w:rPr>
          <w:rFonts w:hint="eastAsia"/>
          <w:b/>
          <w:sz w:val="24"/>
          <w:szCs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rPr>
          <w:highlight w:val="none"/>
        </w:rPr>
      </w:pPr>
      <w:r>
        <w:rPr>
          <w:rFonts w:hint="eastAsia"/>
          <w:highlight w:val="none"/>
        </w:rPr>
        <w:t xml:space="preserve">          第十一章  质疑处理</w:t>
      </w:r>
    </w:p>
    <w:p>
      <w:pPr>
        <w:rPr>
          <w:highlight w:val="none"/>
        </w:rPr>
      </w:pPr>
    </w:p>
    <w:p>
      <w:pPr>
        <w:rPr>
          <w:highlight w:val="none"/>
        </w:rPr>
      </w:pPr>
    </w:p>
    <w:p>
      <w:pPr>
        <w:widowControl/>
        <w:jc w:val="left"/>
        <w:rPr>
          <w:highlight w:val="none"/>
        </w:rPr>
      </w:pPr>
      <w:r>
        <w:rPr>
          <w:highlight w:val="none"/>
        </w:rPr>
        <w:br w:type="page"/>
      </w:r>
    </w:p>
    <w:p>
      <w:pPr>
        <w:pStyle w:val="2"/>
        <w:spacing w:after="78"/>
        <w:jc w:val="center"/>
        <w:rPr>
          <w:sz w:val="32"/>
          <w:szCs w:val="32"/>
          <w:highlight w:val="none"/>
        </w:rPr>
      </w:pPr>
      <w:r>
        <w:rPr>
          <w:rFonts w:hint="eastAsia"/>
          <w:sz w:val="32"/>
          <w:szCs w:val="32"/>
          <w:highlight w:val="none"/>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第一章  招标公告</w:t>
      </w:r>
    </w:p>
    <w:p>
      <w:pPr>
        <w:snapToGrid w:val="0"/>
        <w:spacing w:line="300" w:lineRule="exact"/>
        <w:rPr>
          <w:rFonts w:ascii="Arial" w:hAnsi="Arial" w:eastAsia="宋体" w:cs="Times New Roman"/>
          <w:szCs w:val="21"/>
          <w:highlight w:val="none"/>
        </w:rPr>
      </w:pPr>
      <w:r>
        <w:rPr>
          <w:rFonts w:hint="eastAsia" w:ascii="Arial" w:hAnsi="Arial" w:eastAsia="宋体" w:cs="Times New Roman"/>
          <w:b/>
          <w:bCs/>
          <w:szCs w:val="21"/>
          <w:highlight w:val="none"/>
        </w:rPr>
        <w:t>申请人的资格要求：</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1）具有独立承担民事责任的能力（提供营业执照或事业单位法人证书等证明资料扫描件，原件备查</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分支机构参与投标的，</w:t>
      </w:r>
      <w:r>
        <w:rPr>
          <w:rFonts w:hint="eastAsia" w:asciiTheme="minorEastAsia" w:hAnsiTheme="minorEastAsia" w:cstheme="minorEastAsia"/>
          <w:bCs/>
          <w:sz w:val="24"/>
          <w:szCs w:val="24"/>
          <w:highlight w:val="none"/>
          <w:lang w:val="en-US" w:eastAsia="zh-CN"/>
        </w:rPr>
        <w:t>须同时</w:t>
      </w:r>
      <w:r>
        <w:rPr>
          <w:rFonts w:hint="eastAsia" w:asciiTheme="minorEastAsia" w:hAnsiTheme="minorEastAsia" w:eastAsiaTheme="minorEastAsia" w:cstheme="minorEastAsia"/>
          <w:bCs/>
          <w:sz w:val="24"/>
          <w:szCs w:val="24"/>
          <w:highlight w:val="none"/>
        </w:rPr>
        <w:t>提供</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lang w:val="en-US" w:eastAsia="zh-CN"/>
        </w:rPr>
        <w:t>①分支机构</w:t>
      </w:r>
      <w:r>
        <w:rPr>
          <w:rFonts w:hint="eastAsia" w:asciiTheme="minorEastAsia" w:hAnsiTheme="minorEastAsia" w:eastAsiaTheme="minorEastAsia" w:cstheme="minorEastAsia"/>
          <w:bCs/>
          <w:sz w:val="24"/>
          <w:szCs w:val="24"/>
          <w:highlight w:val="none"/>
        </w:rPr>
        <w:t>营业执照或事业单位法人证书等证明资料扫描件</w:t>
      </w:r>
      <w:r>
        <w:rPr>
          <w:rFonts w:hint="eastAsia" w:asciiTheme="minorEastAsia" w:hAnsiTheme="minorEastAsia" w:cstheme="minorEastAsia"/>
          <w:bCs/>
          <w:sz w:val="24"/>
          <w:szCs w:val="24"/>
          <w:highlight w:val="none"/>
          <w:lang w:val="en-US" w:eastAsia="zh-CN"/>
        </w:rPr>
        <w:t>；②</w:t>
      </w:r>
      <w:r>
        <w:rPr>
          <w:rFonts w:hint="eastAsia" w:asciiTheme="minorEastAsia" w:hAnsiTheme="minorEastAsia" w:eastAsiaTheme="minorEastAsia" w:cstheme="minorEastAsia"/>
          <w:bCs/>
          <w:sz w:val="24"/>
          <w:szCs w:val="24"/>
          <w:highlight w:val="none"/>
        </w:rPr>
        <w:t>总公司授权文件且授权</w:t>
      </w:r>
      <w:r>
        <w:rPr>
          <w:rFonts w:hint="eastAsia" w:asciiTheme="minorEastAsia" w:hAnsiTheme="minorEastAsia" w:cstheme="minorEastAsia"/>
          <w:bCs/>
          <w:sz w:val="24"/>
          <w:szCs w:val="24"/>
          <w:highlight w:val="none"/>
          <w:lang w:val="en-US" w:eastAsia="zh-CN"/>
        </w:rPr>
        <w:t>文件</w:t>
      </w:r>
      <w:r>
        <w:rPr>
          <w:rFonts w:hint="eastAsia" w:asciiTheme="minorEastAsia" w:hAnsiTheme="minorEastAsia" w:eastAsiaTheme="minorEastAsia" w:cstheme="minorEastAsia"/>
          <w:bCs/>
          <w:sz w:val="24"/>
          <w:szCs w:val="24"/>
          <w:highlight w:val="none"/>
        </w:rPr>
        <w:t>载明其民事责任由总公司承担）。</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2）本项目不接受联合体投标</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不接受投标人选用进口产品参与投标。</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3</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参与本项目政府采购活动时不存在被有关部门禁止参与政府采购活动且在有效期内的情况（由供应商在《政府采购投标及履约承诺函》中作出声明）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具备《中华人民共和国政府采购法》第二十二条第一款的条件（由供应商在《政府采购投标及履约承诺函》中作出声明）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5</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未被列入失信被执行人、重大税收违法案件当事人名单、政府采购严重违法失信行为记录名单（由供应商在《政府采购投标及履约承诺函》中作出声明）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Theme="minorEastAsia" w:hAnsiTheme="minorEastAsia" w:eastAsia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）本项目是（否）专门面向中小企业采购：</w:t>
      </w:r>
      <w:r>
        <w:rPr>
          <w:rFonts w:hint="eastAsia" w:asciiTheme="minorEastAsia" w:hAnsiTheme="minorEastAsia" w:cstheme="minorEastAsia"/>
          <w:bCs/>
          <w:sz w:val="24"/>
          <w:szCs w:val="24"/>
          <w:highlight w:val="none"/>
          <w:lang w:val="en-US" w:eastAsia="zh-CN"/>
        </w:rPr>
        <w:t>是</w:t>
      </w:r>
      <w:r>
        <w:rPr>
          <w:rFonts w:hint="eastAsia" w:asciiTheme="minorEastAsia" w:hAnsiTheme="minorEastAsia" w:eastAsiaTheme="minorEastAsia" w:cstheme="minorEastAsia"/>
          <w:bCs/>
          <w:sz w:val="24"/>
          <w:szCs w:val="24"/>
          <w:highlight w:val="none"/>
          <w:lang w:val="en-US" w:eastAsia="zh-CN"/>
        </w:rPr>
        <w:t>。供应商提供的货物全部由符合政策要求的中小微企业、残疾人福利性单位或监狱企业制造（由供应商在相关声明函中作出声明；未提供声明函或声明函不符合相关要求的，按资格审查不通过处理）。</w:t>
      </w:r>
    </w:p>
    <w:p>
      <w:pPr>
        <w:keepNext w:val="0"/>
        <w:keepLines w:val="0"/>
        <w:pageBreakBefore w:val="0"/>
        <w:widowControl w:val="0"/>
        <w:kinsoku/>
        <w:wordWrap/>
        <w:overflowPunct/>
        <w:topLinePunct w:val="0"/>
        <w:autoSpaceDE/>
        <w:autoSpaceDN/>
        <w:bidi w:val="0"/>
        <w:adjustRightInd/>
        <w:snapToGrid w:val="0"/>
        <w:spacing w:line="360" w:lineRule="exact"/>
        <w:ind w:firstLine="465"/>
        <w:textAlignment w:val="auto"/>
        <w:rPr>
          <w:rFonts w:hint="eastAsia" w:asciiTheme="minorEastAsia" w:hAnsiTheme="minorEastAsia" w:eastAsiaTheme="minorEastAsia" w:cstheme="minorEastAsia"/>
          <w:b/>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（2）供应商投标（上传投标文件）必须先行办理注册手续。</w:t>
      </w:r>
    </w:p>
    <w:p>
      <w:pPr>
        <w:snapToGrid w:val="0"/>
        <w:spacing w:line="300" w:lineRule="auto"/>
        <w:ind w:firstLine="480" w:firstLineChars="200"/>
        <w:rPr>
          <w:rFonts w:ascii="Arial" w:hAnsi="Arial" w:eastAsia="宋体" w:cs="Times New Roman"/>
          <w:sz w:val="24"/>
          <w:szCs w:val="24"/>
          <w:highlight w:val="none"/>
        </w:rPr>
      </w:pPr>
    </w:p>
    <w:p>
      <w:pPr>
        <w:spacing w:afterLines="25"/>
        <w:jc w:val="center"/>
        <w:rPr>
          <w:b/>
          <w:color w:val="FF0000"/>
          <w:sz w:val="30"/>
          <w:szCs w:val="30"/>
          <w:highlight w:val="none"/>
        </w:rPr>
      </w:pPr>
      <w:r>
        <w:rPr>
          <w:rFonts w:hint="eastAsia" w:ascii="Arial" w:hAnsi="Arial" w:eastAsia="宋体" w:cs="Times New Roman"/>
          <w:b/>
          <w:color w:val="FF0000"/>
          <w:sz w:val="30"/>
          <w:szCs w:val="30"/>
          <w:highlight w:val="none"/>
        </w:rPr>
        <w:t>完整公告内容以网站公布信息为准，详见：</w:t>
      </w:r>
      <w:r>
        <w:rPr>
          <w:rFonts w:hint="eastAsia"/>
          <w:b/>
          <w:color w:val="FF0000"/>
          <w:sz w:val="30"/>
          <w:szCs w:val="30"/>
          <w:highlight w:val="none"/>
        </w:rPr>
        <w:t>深圳公共资源交易网（https://www.szggzy.com/jygg/list.html?id=zfcg）</w:t>
      </w:r>
    </w:p>
    <w:p>
      <w:pPr>
        <w:spacing w:afterLines="25"/>
        <w:rPr>
          <w:rFonts w:ascii="Arial" w:hAnsi="Arial" w:eastAsia="宋体" w:cs="Times New Roman"/>
          <w:b/>
          <w:color w:val="FF0000"/>
          <w:sz w:val="30"/>
          <w:szCs w:val="30"/>
          <w:highlight w:val="none"/>
        </w:rPr>
      </w:pPr>
    </w:p>
    <w:p>
      <w:pPr>
        <w:keepNext/>
        <w:keepLines/>
        <w:spacing w:before="260" w:after="260" w:line="416" w:lineRule="auto"/>
        <w:jc w:val="center"/>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 xml:space="preserve">第二章 </w:t>
      </w:r>
      <w:bookmarkStart w:id="2" w:name="_Hlk71926094"/>
      <w:r>
        <w:rPr>
          <w:rFonts w:hint="eastAsia" w:ascii="宋体" w:hAnsi="宋体" w:eastAsia="宋体" w:cs="Times New Roman"/>
          <w:b/>
          <w:bCs/>
          <w:kern w:val="0"/>
          <w:sz w:val="28"/>
          <w:szCs w:val="28"/>
          <w:highlight w:val="none"/>
        </w:rPr>
        <w:t>对通用条款的补充内容及其他关键信息</w:t>
      </w:r>
      <w:bookmarkEnd w:id="2"/>
    </w:p>
    <w:p>
      <w:pPr>
        <w:keepNext/>
        <w:keepLines/>
        <w:adjustRightInd w:val="0"/>
        <w:spacing w:beforeLines="50" w:afterLines="50"/>
        <w:jc w:val="center"/>
        <w:textAlignment w:val="baseline"/>
        <w:outlineLvl w:val="2"/>
        <w:rPr>
          <w:rFonts w:hint="eastAsia" w:ascii="宋体" w:hAnsi="宋体" w:eastAsia="宋体" w:cs="Times New Roman"/>
          <w:b/>
          <w:bCs/>
          <w:kern w:val="0"/>
          <w:sz w:val="24"/>
          <w:szCs w:val="24"/>
          <w:highlight w:val="none"/>
        </w:rPr>
      </w:pPr>
      <w:bookmarkStart w:id="3" w:name="_Toc73518117"/>
      <w:bookmarkStart w:id="4" w:name="_Toc73521547"/>
      <w:bookmarkStart w:id="5" w:name="_Toc60560625"/>
      <w:bookmarkStart w:id="6" w:name="_Toc73517639"/>
      <w:bookmarkStart w:id="7" w:name="_Toc73521635"/>
      <w:bookmarkStart w:id="8" w:name="_Toc60631620"/>
      <w:bookmarkStart w:id="9" w:name="_Toc100052364"/>
      <w:bookmarkStart w:id="10" w:name="_Toc101074876"/>
      <w:r>
        <w:rPr>
          <w:rFonts w:hint="eastAsia" w:ascii="宋体" w:hAnsi="宋体" w:eastAsia="宋体" w:cs="Times New Roman"/>
          <w:b/>
          <w:bCs/>
          <w:kern w:val="0"/>
          <w:sz w:val="24"/>
          <w:szCs w:val="24"/>
          <w:highlight w:val="none"/>
        </w:rPr>
        <w:t>一、对通用条款的补充内容</w:t>
      </w:r>
    </w:p>
    <w:tbl>
      <w:tblPr>
        <w:tblStyle w:val="16"/>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1755" w:type="dxa"/>
            <w:vAlign w:val="center"/>
          </w:tcPr>
          <w:p>
            <w:pPr>
              <w:jc w:val="center"/>
              <w:rPr>
                <w:rFonts w:ascii="宋体" w:hAnsi="宋体"/>
                <w:b/>
                <w:bCs/>
                <w:highlight w:val="none"/>
              </w:rPr>
            </w:pPr>
            <w:r>
              <w:rPr>
                <w:rFonts w:hint="eastAsia" w:ascii="宋体" w:hAnsi="宋体"/>
                <w:b/>
                <w:bCs/>
                <w:highlight w:val="none"/>
              </w:rPr>
              <w:t>涉及事项</w:t>
            </w:r>
          </w:p>
        </w:tc>
        <w:tc>
          <w:tcPr>
            <w:tcW w:w="6795"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1755" w:type="dxa"/>
            <w:vAlign w:val="center"/>
          </w:tcPr>
          <w:p>
            <w:pPr>
              <w:jc w:val="center"/>
              <w:rPr>
                <w:highlight w:val="none"/>
              </w:rPr>
            </w:pPr>
            <w:r>
              <w:rPr>
                <w:rFonts w:hint="eastAsia"/>
                <w:highlight w:val="none"/>
              </w:rPr>
              <w:t>采购人</w:t>
            </w:r>
          </w:p>
        </w:tc>
        <w:tc>
          <w:tcPr>
            <w:tcW w:w="6795" w:type="dxa"/>
            <w:vAlign w:val="center"/>
          </w:tcPr>
          <w:p>
            <w:pPr>
              <w:jc w:val="left"/>
              <w:rPr>
                <w:rFonts w:ascii="宋体" w:hAnsi="宋体"/>
                <w:highlight w:val="none"/>
              </w:rPr>
            </w:pPr>
            <w:r>
              <w:rPr>
                <w:rFonts w:hint="eastAsia" w:ascii="宋体" w:hAnsi="宋体" w:eastAsia="宋体" w:cs="Arial"/>
                <w:b/>
                <w:szCs w:val="21"/>
                <w:highlight w:val="none"/>
              </w:rPr>
              <w:t>深圳市福海中学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政府集中采购机构</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本文件所述的“政府集中采购机构”</w:t>
            </w:r>
            <w:r>
              <w:rPr>
                <w:rFonts w:ascii="宋体" w:hAnsi="宋体" w:eastAsia="宋体" w:cs="Arial"/>
                <w:szCs w:val="21"/>
                <w:highlight w:val="none"/>
              </w:rPr>
              <w:t>指</w:t>
            </w:r>
            <w:r>
              <w:rPr>
                <w:rFonts w:hint="eastAsia" w:ascii="宋体" w:hAnsi="宋体" w:eastAsia="宋体" w:cs="Arial"/>
                <w:b/>
                <w:bCs/>
                <w:szCs w:val="21"/>
                <w:highlight w:val="none"/>
              </w:rPr>
              <w:t>深圳公共资源交易中心</w:t>
            </w:r>
            <w:r>
              <w:rPr>
                <w:rFonts w:hint="eastAsia" w:ascii="Arial" w:hAnsi="Arial" w:eastAsia="宋体" w:cs="Times New Roman"/>
                <w:szCs w:val="24"/>
                <w:highlight w:val="none"/>
              </w:rPr>
              <w:t>。本项目具体由深圳公共资源交易中心（深圳交易集团有限公司宝安分公司）执行</w:t>
            </w:r>
            <w:r>
              <w:rPr>
                <w:rFonts w:hint="eastAsia" w:ascii="Arial" w:hAnsi="Arial" w:eastAsia="宋体" w:cs="Times New Roman"/>
                <w:bCs/>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5</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联合体投标</w:t>
            </w:r>
          </w:p>
        </w:tc>
        <w:tc>
          <w:tcPr>
            <w:tcW w:w="6795" w:type="dxa"/>
            <w:vAlign w:val="center"/>
          </w:tcPr>
          <w:p>
            <w:pPr>
              <w:jc w:val="left"/>
              <w:rPr>
                <w:rFonts w:hint="default" w:ascii="宋体" w:hAnsi="宋体" w:eastAsiaTheme="minorEastAsia"/>
                <w:highlight w:val="none"/>
                <w:lang w:val="en-US" w:eastAsia="zh-CN"/>
              </w:rPr>
            </w:pPr>
            <w:r>
              <w:rPr>
                <w:rFonts w:hint="eastAsia" w:ascii="宋体" w:hAnsi="宋体"/>
                <w:highlight w:val="none"/>
                <w:lang w:val="en-US" w:eastAsia="zh-CN"/>
              </w:rPr>
              <w:t>详见本项目招标公告申请人的资格要求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1755" w:type="dxa"/>
            <w:vAlign w:val="center"/>
          </w:tcPr>
          <w:p>
            <w:pPr>
              <w:jc w:val="center"/>
              <w:rPr>
                <w:rFonts w:ascii="宋体" w:hAnsi="宋体"/>
                <w:highlight w:val="none"/>
              </w:rPr>
            </w:pPr>
            <w:r>
              <w:rPr>
                <w:rFonts w:hint="eastAsia" w:ascii="宋体" w:hAnsi="宋体"/>
                <w:highlight w:val="none"/>
              </w:rPr>
              <w:t>踏勘现场</w:t>
            </w:r>
          </w:p>
        </w:tc>
        <w:tc>
          <w:tcPr>
            <w:tcW w:w="6795" w:type="dxa"/>
            <w:vAlign w:val="center"/>
          </w:tcPr>
          <w:p>
            <w:pPr>
              <w:pStyle w:val="8"/>
              <w:rPr>
                <w:rFonts w:hint="default"/>
                <w:highlight w:val="none"/>
                <w:lang w:val="en-US" w:eastAsia="zh-CN"/>
              </w:rPr>
            </w:pPr>
            <w:r>
              <w:rPr>
                <w:rFonts w:hint="default"/>
                <w:highlight w:val="none"/>
                <w:lang w:val="en-US" w:eastAsia="zh-CN"/>
              </w:rPr>
              <w:t>踏勘要求：</w:t>
            </w:r>
          </w:p>
          <w:p>
            <w:pPr>
              <w:pStyle w:val="8"/>
              <w:rPr>
                <w:rFonts w:hint="default"/>
                <w:highlight w:val="none"/>
                <w:lang w:val="en-US" w:eastAsia="zh-CN"/>
              </w:rPr>
            </w:pPr>
            <w:r>
              <w:rPr>
                <w:rFonts w:hint="default"/>
                <w:highlight w:val="none"/>
                <w:lang w:val="en-US" w:eastAsia="zh-CN"/>
              </w:rPr>
              <w:t>除主要设备外，清单中各类设备安装及配套所需的配件与辅材数量为参考数据，招标完成后采购人不因固有工程量增加而承担任何费用，费用将以中标价结算，请投标人充分考虑风险性。建议投标人到采购人单位进行现场勘察，以明确施工场地情况并准确了解相关工程量等。</w:t>
            </w:r>
          </w:p>
          <w:p>
            <w:pPr>
              <w:snapToGrid w:val="0"/>
              <w:jc w:val="left"/>
              <w:rPr>
                <w:rFonts w:ascii="宋体" w:hAnsi="宋体"/>
                <w:highlight w:val="none"/>
              </w:rPr>
            </w:pPr>
            <w:r>
              <w:rPr>
                <w:rFonts w:hint="default"/>
                <w:highlight w:val="none"/>
                <w:lang w:val="en-US" w:eastAsia="zh-CN"/>
              </w:rPr>
              <w:t>有应标意向的投标人可自行踏勘或联系采购人（联系人：张</w:t>
            </w:r>
            <w:r>
              <w:rPr>
                <w:rFonts w:hint="eastAsia"/>
                <w:highlight w:val="none"/>
                <w:lang w:val="en-US" w:eastAsia="zh-CN"/>
              </w:rPr>
              <w:t>老师</w:t>
            </w:r>
            <w:r>
              <w:rPr>
                <w:rFonts w:hint="default"/>
                <w:highlight w:val="none"/>
                <w:lang w:val="en-US" w:eastAsia="zh-CN"/>
              </w:rPr>
              <w:t xml:space="preserve">  电话：18002545801），按采购人规定的集合时间和地点进行踏勘。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标前会议</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招标文件的澄清和修改</w:t>
            </w:r>
          </w:p>
        </w:tc>
        <w:tc>
          <w:tcPr>
            <w:tcW w:w="6795" w:type="dxa"/>
            <w:vAlign w:val="center"/>
          </w:tcPr>
          <w:p>
            <w:pPr>
              <w:jc w:val="left"/>
              <w:rPr>
                <w:rFonts w:hint="eastAsia" w:ascii="宋体" w:hAnsi="宋体" w:eastAsiaTheme="minorEastAsia"/>
                <w:highlight w:val="none"/>
                <w:lang w:eastAsia="zh-CN"/>
              </w:rPr>
            </w:pPr>
            <w:r>
              <w:rPr>
                <w:rFonts w:hint="eastAsia" w:ascii="宋体" w:hAnsi="宋体"/>
                <w:highlight w:val="none"/>
              </w:rPr>
              <w:t>对招标文件澄清/修改时间不晚于投标截止日三日前，投标人有义务在招标期间在政府集中采购机构网站浏览与本项目有关的澄清和修改信息</w:t>
            </w:r>
            <w:r>
              <w:rPr>
                <w:rFonts w:hint="eastAsia" w:ascii="宋体" w:hAnsi="宋体"/>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投标有效期</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投标有效期：从投标截止之日起</w:t>
            </w:r>
            <w:r>
              <w:rPr>
                <w:rFonts w:hint="eastAsia" w:ascii="宋体" w:hAnsi="宋体" w:eastAsia="宋体" w:cs="Times New Roman"/>
                <w:b/>
                <w:color w:val="0000FF"/>
                <w:sz w:val="24"/>
                <w:szCs w:val="24"/>
                <w:highlight w:val="none"/>
                <w:u w:val="single"/>
              </w:rPr>
              <w:t xml:space="preserve"> 120 </w:t>
            </w:r>
            <w:r>
              <w:rPr>
                <w:rFonts w:hint="eastAsia" w:ascii="宋体" w:hAnsi="宋体" w:eastAsia="宋体" w:cs="Arial"/>
                <w:szCs w:val="21"/>
                <w:highlight w:val="none"/>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投标人的替代方案</w:t>
            </w:r>
          </w:p>
        </w:tc>
        <w:tc>
          <w:tcPr>
            <w:tcW w:w="6795" w:type="dxa"/>
            <w:vAlign w:val="center"/>
          </w:tcPr>
          <w:p>
            <w:pPr>
              <w:jc w:val="left"/>
              <w:rPr>
                <w:rFonts w:ascii="宋体" w:hAnsi="宋体"/>
                <w:highlight w:val="none"/>
              </w:rPr>
            </w:pPr>
            <w:r>
              <w:rPr>
                <w:rFonts w:hint="eastAsia" w:ascii="宋体" w:hAnsi="宋体"/>
                <w:highlight w:val="none"/>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1755" w:type="dxa"/>
            <w:vAlign w:val="center"/>
          </w:tcPr>
          <w:p>
            <w:pPr>
              <w:jc w:val="center"/>
              <w:rPr>
                <w:rFonts w:ascii="宋体" w:hAnsi="宋体"/>
                <w:highlight w:val="none"/>
              </w:rPr>
            </w:pPr>
            <w:r>
              <w:rPr>
                <w:rFonts w:hint="eastAsia" w:ascii="宋体" w:hAnsi="宋体"/>
                <w:highlight w:val="none"/>
              </w:rPr>
              <w:t>投标文件的大小</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投标文件大小不得超过 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1755" w:type="dxa"/>
            <w:vAlign w:val="center"/>
          </w:tcPr>
          <w:p>
            <w:pPr>
              <w:jc w:val="center"/>
              <w:rPr>
                <w:rFonts w:ascii="宋体" w:hAnsi="宋体"/>
                <w:highlight w:val="none"/>
              </w:rPr>
            </w:pPr>
            <w:bookmarkStart w:id="11" w:name="_Hlk71664860"/>
            <w:r>
              <w:rPr>
                <w:rFonts w:hint="eastAsia" w:ascii="宋体" w:hAnsi="宋体"/>
                <w:highlight w:val="none"/>
              </w:rPr>
              <w:t>样品、现场演示、方案讲解</w:t>
            </w:r>
            <w:bookmarkEnd w:id="11"/>
          </w:p>
        </w:tc>
        <w:tc>
          <w:tcPr>
            <w:tcW w:w="6795" w:type="dxa"/>
            <w:vAlign w:val="center"/>
          </w:tcPr>
          <w:p>
            <w:pPr>
              <w:jc w:val="left"/>
              <w:rPr>
                <w:rFonts w:ascii="宋体" w:hAnsi="宋体"/>
                <w:highlight w:val="none"/>
              </w:rPr>
            </w:pPr>
            <w:r>
              <w:rPr>
                <w:rFonts w:hint="eastAsia" w:ascii="宋体" w:hAnsi="宋体"/>
                <w:highlight w:val="none"/>
              </w:rPr>
              <w:t>不要求提供样品；不组织现场演示；不组织方案讲解。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1755" w:type="dxa"/>
            <w:vAlign w:val="center"/>
          </w:tcPr>
          <w:p>
            <w:pPr>
              <w:jc w:val="center"/>
              <w:rPr>
                <w:rFonts w:ascii="宋体" w:hAnsi="宋体"/>
                <w:highlight w:val="none"/>
              </w:rPr>
            </w:pPr>
            <w:r>
              <w:rPr>
                <w:rFonts w:hint="eastAsia" w:ascii="宋体" w:hAnsi="宋体"/>
                <w:highlight w:val="none"/>
              </w:rPr>
              <w:t>评审方法</w:t>
            </w:r>
          </w:p>
        </w:tc>
        <w:tc>
          <w:tcPr>
            <w:tcW w:w="6795" w:type="dxa"/>
            <w:vAlign w:val="center"/>
          </w:tcPr>
          <w:p>
            <w:pPr>
              <w:jc w:val="left"/>
              <w:rPr>
                <w:rFonts w:ascii="宋体" w:hAnsi="宋体"/>
                <w:highlight w:val="none"/>
              </w:rPr>
            </w:pPr>
            <w:r>
              <w:rPr>
                <w:rFonts w:ascii="宋体" w:hAnsi="宋体"/>
                <w:b/>
                <w:bCs/>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1755" w:type="dxa"/>
            <w:vAlign w:val="center"/>
          </w:tcPr>
          <w:p>
            <w:pPr>
              <w:jc w:val="center"/>
              <w:rPr>
                <w:rFonts w:ascii="宋体" w:hAnsi="宋体"/>
                <w:highlight w:val="none"/>
              </w:rPr>
            </w:pPr>
            <w:r>
              <w:rPr>
                <w:rFonts w:hint="eastAsia" w:ascii="宋体" w:hAnsi="宋体"/>
                <w:highlight w:val="none"/>
              </w:rPr>
              <w:t>定标方法</w:t>
            </w:r>
          </w:p>
        </w:tc>
        <w:tc>
          <w:tcPr>
            <w:tcW w:w="6795" w:type="dxa"/>
            <w:vAlign w:val="center"/>
          </w:tcPr>
          <w:p>
            <w:pPr>
              <w:jc w:val="left"/>
              <w:rPr>
                <w:rFonts w:hint="eastAsia" w:ascii="宋体" w:hAnsi="宋体"/>
                <w:b/>
                <w:bCs/>
                <w:highlight w:val="none"/>
              </w:rPr>
            </w:pPr>
            <w:r>
              <w:rPr>
                <w:rFonts w:hint="eastAsia" w:ascii="宋体" w:hAnsi="宋体" w:eastAsia="宋体" w:cs="Times New Roman"/>
                <w:b/>
                <w:bCs/>
                <w:szCs w:val="21"/>
                <w:highlight w:val="none"/>
              </w:rPr>
              <w:t>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1755" w:type="dxa"/>
            <w:vAlign w:val="center"/>
          </w:tcPr>
          <w:p>
            <w:pPr>
              <w:jc w:val="center"/>
              <w:rPr>
                <w:rFonts w:ascii="宋体" w:hAnsi="宋体"/>
                <w:highlight w:val="none"/>
              </w:rPr>
            </w:pPr>
            <w:r>
              <w:rPr>
                <w:rFonts w:hint="eastAsia" w:ascii="宋体" w:hAnsi="宋体"/>
                <w:highlight w:val="none"/>
              </w:rPr>
              <w:t>履约担保</w:t>
            </w:r>
          </w:p>
        </w:tc>
        <w:tc>
          <w:tcPr>
            <w:tcW w:w="6795" w:type="dxa"/>
            <w:vAlign w:val="center"/>
          </w:tcPr>
          <w:p>
            <w:pPr>
              <w:jc w:val="left"/>
              <w:rPr>
                <w:rFonts w:ascii="宋体" w:hAnsi="宋体"/>
                <w:highlight w:val="none"/>
              </w:rPr>
            </w:pPr>
            <w:r>
              <w:rPr>
                <w:rFonts w:hint="eastAsia" w:ascii="宋体" w:hAnsi="宋体"/>
                <w:highlight w:val="none"/>
              </w:rPr>
              <w:t>不</w:t>
            </w:r>
            <w:r>
              <w:rPr>
                <w:rFonts w:hint="eastAsia" w:ascii="宋体" w:hAnsi="宋体"/>
                <w:highlight w:val="none"/>
                <w:lang w:val="en-US" w:eastAsia="zh-CN"/>
              </w:rPr>
              <w:t>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lang w:val="en-US" w:eastAsia="zh-CN"/>
              </w:rPr>
              <w:t>52.8</w:t>
            </w:r>
          </w:p>
        </w:tc>
        <w:tc>
          <w:tcPr>
            <w:tcW w:w="1755" w:type="dxa"/>
            <w:vAlign w:val="center"/>
          </w:tcPr>
          <w:p>
            <w:pPr>
              <w:jc w:val="center"/>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lang w:val="en-US" w:eastAsia="zh-CN"/>
              </w:rPr>
              <w:t>投诉</w:t>
            </w:r>
          </w:p>
        </w:tc>
        <w:tc>
          <w:tcPr>
            <w:tcW w:w="6795" w:type="dxa"/>
            <w:vAlign w:val="center"/>
          </w:tcPr>
          <w:p>
            <w:pPr>
              <w:jc w:val="left"/>
              <w:rPr>
                <w:rFonts w:hint="eastAsia" w:ascii="宋体" w:hAnsi="宋体" w:eastAsiaTheme="minorEastAsia" w:cstheme="minorBidi"/>
                <w:kern w:val="2"/>
                <w:sz w:val="21"/>
                <w:szCs w:val="22"/>
                <w:highlight w:val="none"/>
                <w:lang w:val="en-US" w:eastAsia="zh-CN" w:bidi="ar-SA"/>
              </w:rPr>
            </w:pPr>
            <w:r>
              <w:rPr>
                <w:rFonts w:hint="eastAsia" w:ascii="宋体" w:hAnsi="宋体"/>
                <w:highlight w:val="none"/>
              </w:rPr>
              <w:t>对被质疑人的答复不满意或者被质疑人未在规定时间内答复的，提出质疑的供应商可以在答复期满后十五个工作日内向本项目预算主管单位（深圳市宝安区教育局）投诉。供应商投诉的事项应当是经过质疑的事项。</w:t>
            </w:r>
          </w:p>
        </w:tc>
      </w:tr>
      <w:bookmarkEnd w:id="3"/>
      <w:bookmarkEnd w:id="4"/>
      <w:bookmarkEnd w:id="5"/>
      <w:bookmarkEnd w:id="6"/>
      <w:bookmarkEnd w:id="7"/>
      <w:bookmarkEnd w:id="8"/>
      <w:bookmarkEnd w:id="9"/>
      <w:bookmarkEnd w:id="10"/>
    </w:tbl>
    <w:p>
      <w:pPr>
        <w:widowControl/>
        <w:jc w:val="center"/>
        <w:rPr>
          <w:szCs w:val="21"/>
          <w:highlight w:val="none"/>
        </w:rPr>
      </w:pPr>
      <w:r>
        <w:rPr>
          <w:rFonts w:hint="eastAsia"/>
          <w:szCs w:val="21"/>
          <w:highlight w:val="none"/>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二、其他关键信息</w:t>
      </w:r>
    </w:p>
    <w:p>
      <w:pPr>
        <w:tabs>
          <w:tab w:val="left" w:pos="720"/>
        </w:tabs>
        <w:rPr>
          <w:rFonts w:ascii="黑体" w:hAnsi="宋体" w:eastAsia="黑体"/>
          <w:sz w:val="24"/>
          <w:highlight w:val="none"/>
        </w:rPr>
      </w:pPr>
      <w:r>
        <w:rPr>
          <w:rFonts w:hint="eastAsia" w:ascii="黑体" w:hAnsi="宋体" w:eastAsia="黑体"/>
          <w:sz w:val="24"/>
          <w:highlight w:val="none"/>
        </w:rPr>
        <w:t>（一）</w:t>
      </w:r>
      <w:r>
        <w:rPr>
          <w:rFonts w:hint="eastAsia" w:ascii="黑体" w:hAnsi="宋体" w:eastAsia="黑体"/>
          <w:bCs/>
          <w:sz w:val="24"/>
          <w:highlight w:val="none"/>
        </w:rPr>
        <w:t>与“对通用条款的补充内容”章节相关的事项</w:t>
      </w:r>
    </w:p>
    <w:p>
      <w:pPr>
        <w:tabs>
          <w:tab w:val="left" w:pos="720"/>
        </w:tabs>
        <w:rPr>
          <w:rFonts w:hint="eastAsia" w:ascii="黑体" w:hAnsi="宋体" w:eastAsia="黑体"/>
          <w:bCs/>
          <w:sz w:val="24"/>
          <w:highlight w:val="none"/>
          <w:lang w:val="en-US" w:eastAsia="zh-CN"/>
        </w:rPr>
      </w:pPr>
      <w:r>
        <w:rPr>
          <w:rFonts w:hint="eastAsia" w:ascii="黑体" w:hAnsi="宋体" w:eastAsia="黑体"/>
          <w:bCs/>
          <w:sz w:val="24"/>
          <w:highlight w:val="none"/>
          <w:lang w:val="en-US" w:eastAsia="zh-CN"/>
        </w:rPr>
        <w:t>1、评标定标信息</w:t>
      </w:r>
    </w:p>
    <w:p>
      <w:pPr>
        <w:jc w:val="center"/>
        <w:rPr>
          <w:highlight w:val="none"/>
        </w:rPr>
      </w:pPr>
      <w:r>
        <w:rPr>
          <w:rFonts w:hint="eastAsia"/>
          <w:b/>
          <w:highlight w:val="none"/>
        </w:rPr>
        <w:t>非评定分离项目</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评标方法</w:t>
            </w:r>
          </w:p>
        </w:tc>
        <w:tc>
          <w:tcPr>
            <w:tcW w:w="3235" w:type="dxa"/>
          </w:tcPr>
          <w:p>
            <w:pPr>
              <w:jc w:val="center"/>
              <w:rPr>
                <w:rFonts w:hint="default" w:eastAsia="宋体"/>
                <w:highlight w:val="none"/>
                <w:lang w:val="en-US" w:eastAsia="zh-CN"/>
              </w:rPr>
            </w:pPr>
            <w:r>
              <w:rPr>
                <w:rFonts w:hint="eastAsia"/>
                <w:highlight w:val="none"/>
              </w:rPr>
              <w:sym w:font="Wingdings" w:char="00FE"/>
            </w:r>
            <w:r>
              <w:rPr>
                <w:rFonts w:hint="eastAsia"/>
                <w:highlight w:val="none"/>
              </w:rPr>
              <w:t>综合评分法</w:t>
            </w:r>
          </w:p>
        </w:tc>
        <w:tc>
          <w:tcPr>
            <w:tcW w:w="2450" w:type="dxa"/>
          </w:tcPr>
          <w:p>
            <w:pPr>
              <w:jc w:val="center"/>
              <w:rPr>
                <w:rFonts w:hint="eastAsia"/>
                <w:highlight w:val="none"/>
              </w:rPr>
            </w:pPr>
            <w:r>
              <w:rPr>
                <w:rFonts w:hint="eastAsia" w:ascii="Times New Roman" w:eastAsia="宋体"/>
                <w:highlight w:val="none"/>
                <w:lang w:val="en-US" w:eastAsia="zh-CN"/>
              </w:rPr>
              <w:sym w:font="Wingdings" w:char="00A8"/>
            </w:r>
            <w:r>
              <w:rPr>
                <w:rFonts w:hint="eastAsia" w:ascii="Times New Roman" w:eastAsia="宋体"/>
                <w:highlight w:val="none"/>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候选中标供应商家数</w:t>
            </w:r>
          </w:p>
        </w:tc>
        <w:tc>
          <w:tcPr>
            <w:tcW w:w="3235" w:type="dxa"/>
          </w:tcPr>
          <w:p>
            <w:pPr>
              <w:jc w:val="center"/>
              <w:rPr>
                <w:rFonts w:hint="default" w:eastAsia="宋体"/>
                <w:highlight w:val="none"/>
                <w:lang w:val="en-US" w:eastAsia="zh-CN"/>
              </w:rPr>
            </w:pPr>
            <w:r>
              <w:rPr>
                <w:rFonts w:hint="eastAsia"/>
                <w:highlight w:val="none"/>
              </w:rPr>
              <w:t>1</w:t>
            </w:r>
          </w:p>
        </w:tc>
        <w:tc>
          <w:tcPr>
            <w:tcW w:w="2450" w:type="dxa"/>
          </w:tcPr>
          <w:p>
            <w:pPr>
              <w:jc w:val="center"/>
              <w:rPr>
                <w:rFonts w:hint="eastAsia"/>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highlight w:val="none"/>
              </w:rPr>
            </w:pPr>
            <w:r>
              <w:rPr>
                <w:rFonts w:hint="eastAsia"/>
                <w:highlight w:val="none"/>
              </w:rPr>
              <w:t>中标供应商家数</w:t>
            </w:r>
          </w:p>
        </w:tc>
        <w:tc>
          <w:tcPr>
            <w:tcW w:w="3235" w:type="dxa"/>
          </w:tcPr>
          <w:p>
            <w:pPr>
              <w:jc w:val="center"/>
              <w:rPr>
                <w:highlight w:val="none"/>
              </w:rPr>
            </w:pPr>
            <w:r>
              <w:rPr>
                <w:rFonts w:hint="eastAsia"/>
                <w:highlight w:val="none"/>
              </w:rPr>
              <w:t>1</w:t>
            </w:r>
          </w:p>
        </w:tc>
        <w:tc>
          <w:tcPr>
            <w:tcW w:w="2450" w:type="dxa"/>
          </w:tcPr>
          <w:p>
            <w:pPr>
              <w:jc w:val="center"/>
              <w:rPr>
                <w:rFonts w:hint="eastAsia"/>
                <w:highlight w:val="none"/>
              </w:rPr>
            </w:pPr>
            <w:r>
              <w:rPr>
                <w:rFonts w:hint="eastAsia"/>
                <w:highlight w:val="none"/>
              </w:rPr>
              <w:t>1</w:t>
            </w:r>
          </w:p>
        </w:tc>
      </w:tr>
    </w:tbl>
    <w:p>
      <w:pPr>
        <w:pStyle w:val="10"/>
        <w:rPr>
          <w:highlight w:val="none"/>
        </w:rPr>
      </w:pPr>
    </w:p>
    <w:p>
      <w:pPr>
        <w:tabs>
          <w:tab w:val="left" w:pos="720"/>
        </w:tabs>
        <w:rPr>
          <w:rFonts w:hint="eastAsia" w:ascii="黑体" w:hAnsi="宋体" w:eastAsia="黑体"/>
          <w:bCs/>
          <w:sz w:val="24"/>
          <w:highlight w:val="none"/>
          <w:lang w:val="en-US" w:eastAsia="zh-CN"/>
        </w:rPr>
      </w:pPr>
    </w:p>
    <w:p>
      <w:pPr>
        <w:tabs>
          <w:tab w:val="left" w:pos="720"/>
        </w:tabs>
        <w:rPr>
          <w:rFonts w:ascii="黑体" w:hAnsi="宋体" w:eastAsia="黑体"/>
          <w:bCs/>
          <w:sz w:val="24"/>
          <w:highlight w:val="none"/>
        </w:rPr>
      </w:pPr>
      <w:r>
        <w:rPr>
          <w:rFonts w:hint="eastAsia" w:ascii="黑体" w:hAnsi="宋体" w:eastAsia="黑体"/>
          <w:bCs/>
          <w:sz w:val="24"/>
          <w:highlight w:val="none"/>
          <w:lang w:val="en-US" w:eastAsia="zh-CN"/>
        </w:rPr>
        <w:t>2</w:t>
      </w:r>
      <w:r>
        <w:rPr>
          <w:rFonts w:hint="eastAsia" w:ascii="黑体" w:hAnsi="宋体" w:eastAsia="黑体"/>
          <w:bCs/>
          <w:sz w:val="24"/>
          <w:highlight w:val="none"/>
        </w:rPr>
        <w:t>、关于包组的定义</w:t>
      </w:r>
    </w:p>
    <w:p>
      <w:pPr>
        <w:tabs>
          <w:tab w:val="left" w:pos="720"/>
        </w:tabs>
        <w:ind w:firstLine="420" w:firstLineChars="200"/>
        <w:rPr>
          <w:rFonts w:ascii="宋体" w:hAnsi="宋体"/>
          <w:highlight w:val="none"/>
        </w:rPr>
      </w:pPr>
      <w:r>
        <w:rPr>
          <w:rFonts w:hint="eastAsia" w:ascii="宋体" w:hAnsi="宋体"/>
          <w:highlight w:val="none"/>
        </w:rPr>
        <w:t>本招标文件中的“包”是最小的“标的单位”，投标人可对本“招标文件”中所列的所有货物或服务项进行投标，投标人可只对其中一个包或几个包货物或服务内容进行投标（如有的话），但不得将一个包中的内容拆开投标，否则将导致其投标被拒绝。某一包组投标截止时投标人不足三家，或有效投标少于三家，该包组废标，对该包组重新招标或采用其它方式采购。某一包组中标供应商放弃中标资格的，或者中标供应商的中标资格被依法确认无效的，根据实际情况按相关法律规定处理，该包组中标结果改变不影响其他包组结果。</w:t>
      </w:r>
    </w:p>
    <w:p>
      <w:pPr>
        <w:tabs>
          <w:tab w:val="left" w:pos="720"/>
        </w:tabs>
        <w:rPr>
          <w:rFonts w:ascii="黑体" w:hAnsi="宋体" w:eastAsia="黑体"/>
          <w:sz w:val="24"/>
          <w:highlight w:val="none"/>
        </w:rPr>
      </w:pPr>
      <w:r>
        <w:rPr>
          <w:rFonts w:hint="eastAsia" w:ascii="黑体" w:hAnsi="宋体" w:eastAsia="黑体"/>
          <w:sz w:val="24"/>
          <w:highlight w:val="none"/>
          <w:lang w:val="en-US" w:eastAsia="zh-CN"/>
        </w:rPr>
        <w:t>3</w:t>
      </w:r>
      <w:r>
        <w:rPr>
          <w:rFonts w:hint="eastAsia" w:ascii="黑体" w:hAnsi="宋体" w:eastAsia="黑体"/>
          <w:sz w:val="24"/>
          <w:highlight w:val="none"/>
        </w:rPr>
        <w:t>、关于涉及采取随机抽取方式确定中标候选人（候选中标供应商）的规则</w:t>
      </w:r>
    </w:p>
    <w:p>
      <w:pPr>
        <w:tabs>
          <w:tab w:val="left" w:pos="720"/>
        </w:tabs>
        <w:ind w:firstLine="420" w:firstLineChars="200"/>
        <w:rPr>
          <w:rFonts w:ascii="宋体" w:hAnsi="宋体"/>
          <w:highlight w:val="none"/>
        </w:rPr>
      </w:pPr>
      <w:r>
        <w:rPr>
          <w:rFonts w:hint="eastAsia" w:ascii="宋体" w:hAnsi="宋体"/>
          <w:highlight w:val="none"/>
        </w:rPr>
        <w:t>（1）采购人代表从1-50号球中抽取一个球：抽到01-25号范围内的球，则抽签号码最小的投标人中签；抽到26-50号范围内的球，则抽签号码最大的投标人中签。各投标人按照《综合得分表》顺序依次抽签。如出现两家或以上投标人最大</w:t>
      </w:r>
      <w:r>
        <w:rPr>
          <w:rFonts w:hint="eastAsia" w:ascii="宋体" w:hAnsi="宋体"/>
          <w:szCs w:val="21"/>
          <w:highlight w:val="none"/>
        </w:rPr>
        <w:t>、小</w:t>
      </w:r>
      <w:r>
        <w:rPr>
          <w:rFonts w:hint="eastAsia" w:ascii="宋体" w:hAnsi="宋体"/>
          <w:highlight w:val="none"/>
        </w:rPr>
        <w:t>且同号的情况，则对同号的投标人重新摇签确定中签。抽签过程中遇抽签机器卡球的，被卡球方当轮重新抽签。</w:t>
      </w:r>
    </w:p>
    <w:p>
      <w:pPr>
        <w:ind w:firstLine="470" w:firstLineChars="196"/>
        <w:rPr>
          <w:rFonts w:ascii="宋体" w:hAnsi="宋体"/>
          <w:szCs w:val="21"/>
          <w:highlight w:val="none"/>
        </w:rPr>
      </w:pPr>
      <w:r>
        <w:rPr>
          <w:rFonts w:hint="eastAsia" w:ascii="黑体" w:hAnsi="宋体" w:eastAsia="黑体"/>
          <w:sz w:val="24"/>
          <w:highlight w:val="none"/>
        </w:rPr>
        <w:t>备注：</w:t>
      </w:r>
      <w:r>
        <w:rPr>
          <w:rFonts w:hint="eastAsia" w:ascii="宋体" w:hAnsi="宋体"/>
          <w:szCs w:val="21"/>
          <w:highlight w:val="none"/>
        </w:rPr>
        <w:t>（a）建议各投标供应商代表于本项目开标时间起60分钟内到达招标机构服务大厅等候抽签，如抽签程序启动时投标供应商代表未到达，该投标供应商视为自动授权本项目评审委员会代其执行抽签，投标供应商自行承担由此产生的后果。（b）各投标供应商应派法定代表人或投标文件授权的投标代理人作为代表（携带本人身份证）参与本项目抽签,如委派其他人员抽签的,须携带本人身份证、本公司法定代表人授权证明书到现场核验身份。未能按要求提供证明材料的，该投标供应商视为自动授权本项目评审委员会代其执行抽签，投标供应商自行承担由此产生的后果。</w:t>
      </w:r>
    </w:p>
    <w:p>
      <w:pPr>
        <w:ind w:firstLine="420" w:firstLineChars="200"/>
        <w:rPr>
          <w:rFonts w:ascii="宋体" w:hAnsi="宋体"/>
          <w:szCs w:val="21"/>
          <w:highlight w:val="none"/>
        </w:rPr>
      </w:pPr>
      <w:r>
        <w:rPr>
          <w:rFonts w:hint="eastAsia" w:ascii="宋体" w:hAnsi="宋体"/>
          <w:szCs w:val="21"/>
          <w:highlight w:val="none"/>
        </w:rPr>
        <w:t>（2）评定分离项目如涉及采取抽签方式确定候选中标供应商：（a）排名第一超过三家，则排名第一的投标人中抽签号码最大、小的三家依次入围；（b）排名第一为两家，直接入围，排名第二的超过一家，则排名第二的投标人中抽签号码最大、小的一家入围；（c）排名第一为一家，直接入围，排名第二的超过两家，则排名第二的投标人中抽签号码最大、小的两家依次入围；（d）排名第一与排名第二均为一家，直接入围，排名第三的超过一家，则排名第三的投标人中抽签号码最大、小的一家入围；（e）如确定入围或依次确定入围时出现同号的投标人数量超出拟确定的候选中标供应商差额数量的，则对同号的投标人重新摇签确定入围。</w:t>
      </w:r>
    </w:p>
    <w:p>
      <w:pPr>
        <w:tabs>
          <w:tab w:val="left" w:pos="720"/>
        </w:tabs>
        <w:rPr>
          <w:rFonts w:ascii="黑体" w:hAnsi="宋体" w:eastAsia="黑体"/>
          <w:sz w:val="24"/>
          <w:highlight w:val="none"/>
        </w:rPr>
      </w:pPr>
    </w:p>
    <w:p>
      <w:pPr>
        <w:tabs>
          <w:tab w:val="left" w:pos="720"/>
        </w:tabs>
        <w:rPr>
          <w:rFonts w:ascii="黑体" w:hAnsi="宋体" w:eastAsia="黑体"/>
          <w:sz w:val="24"/>
          <w:highlight w:val="none"/>
        </w:rPr>
      </w:pPr>
      <w:r>
        <w:rPr>
          <w:rFonts w:hint="eastAsia" w:ascii="黑体" w:hAnsi="宋体" w:eastAsia="黑体"/>
          <w:sz w:val="24"/>
          <w:highlight w:val="none"/>
        </w:rPr>
        <w:t>（二）其他事项</w:t>
      </w:r>
    </w:p>
    <w:p>
      <w:pPr>
        <w:tabs>
          <w:tab w:val="left" w:pos="720"/>
        </w:tabs>
        <w:rPr>
          <w:rFonts w:ascii="黑体" w:hAnsi="宋体" w:eastAsia="黑体"/>
          <w:sz w:val="24"/>
          <w:highlight w:val="none"/>
        </w:rPr>
      </w:pPr>
      <w:r>
        <w:rPr>
          <w:rFonts w:hint="eastAsia" w:ascii="黑体" w:hAnsi="宋体" w:eastAsia="黑体"/>
          <w:sz w:val="24"/>
          <w:highlight w:val="none"/>
        </w:rPr>
        <w:t>1、关于享受优惠政策的主体、价格扣除比例及采购标的所属行业</w:t>
      </w:r>
    </w:p>
    <w:p>
      <w:pPr>
        <w:ind w:firstLine="411" w:firstLineChars="196"/>
        <w:rPr>
          <w:rFonts w:hint="eastAsia" w:ascii="宋体" w:hAnsi="宋体"/>
          <w:highlight w:val="none"/>
        </w:rPr>
      </w:pPr>
      <w:r>
        <w:rPr>
          <w:rFonts w:hint="eastAsia" w:ascii="宋体" w:hAnsi="宋体"/>
          <w:highlight w:val="none"/>
        </w:rPr>
        <w:t>（1）</w:t>
      </w:r>
      <w:r>
        <w:rPr>
          <w:rFonts w:hint="eastAsia"/>
          <w:highlight w:val="none"/>
          <w:lang w:val="en-US" w:eastAsia="zh-CN"/>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w:t>
      </w:r>
      <w:r>
        <w:rPr>
          <w:rFonts w:hint="eastAsia" w:ascii="宋体" w:hAnsi="宋体"/>
          <w:highlight w:val="none"/>
        </w:rPr>
        <w:t>投标人提供的货物（以招标文件用户需求书“货物</w:t>
      </w:r>
      <w:r>
        <w:rPr>
          <w:rFonts w:hint="eastAsia" w:ascii="宋体" w:hAnsi="宋体"/>
          <w:highlight w:val="none"/>
          <w:lang w:val="en-US" w:eastAsia="zh-CN"/>
        </w:rPr>
        <w:t>需求</w:t>
      </w:r>
      <w:r>
        <w:rPr>
          <w:rFonts w:hint="eastAsia" w:ascii="宋体" w:hAnsi="宋体"/>
          <w:highlight w:val="none"/>
        </w:rPr>
        <w:t>明细”的“货物名称”一栏为准）全部均由优惠主体制造的，对其投标总价给予</w:t>
      </w:r>
      <w:r>
        <w:rPr>
          <w:rFonts w:hint="eastAsia" w:ascii="宋体" w:hAnsi="宋体" w:eastAsia="宋体" w:cs="Times New Roman"/>
          <w:b/>
          <w:sz w:val="24"/>
          <w:szCs w:val="24"/>
          <w:highlight w:val="none"/>
          <w:u w:val="single"/>
          <w:lang w:val="en-US" w:eastAsia="zh-CN"/>
        </w:rPr>
        <w:t>10%</w:t>
      </w:r>
      <w:r>
        <w:rPr>
          <w:rFonts w:hint="eastAsia" w:ascii="宋体" w:hAnsi="宋体"/>
          <w:highlight w:val="none"/>
        </w:rPr>
        <w:t>的扣除，用扣除后的价格参与评审。满足多项优惠政策的企业，不重复享受多项价格扣除政策。</w:t>
      </w:r>
      <w:r>
        <w:rPr>
          <w:rFonts w:hint="eastAsia" w:ascii="Arial" w:hAnsi="Arial" w:eastAsia="宋体" w:cs="Times New Roman"/>
          <w:b/>
          <w:strike w:val="0"/>
          <w:dstrike w:val="0"/>
          <w:szCs w:val="21"/>
          <w:highlight w:val="none"/>
        </w:rPr>
        <w:t>政策调整后价格仅作为评审依据，不作为中标价格。</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r>
        <w:rPr>
          <w:rFonts w:hint="eastAsia" w:asciiTheme="minorEastAsia" w:hAnsiTheme="minorEastAsia" w:cstheme="minorEastAsia"/>
          <w:b/>
          <w:bCs/>
          <w:sz w:val="21"/>
          <w:szCs w:val="21"/>
          <w:highlight w:val="none"/>
          <w:lang w:eastAsia="zh-CN"/>
        </w:rPr>
        <w:t>（</w:t>
      </w:r>
      <w:r>
        <w:rPr>
          <w:rFonts w:hint="eastAsia" w:asciiTheme="minorEastAsia" w:hAnsiTheme="minorEastAsia" w:cstheme="minorEastAsia"/>
          <w:b/>
          <w:bCs/>
          <w:sz w:val="21"/>
          <w:szCs w:val="21"/>
          <w:highlight w:val="none"/>
          <w:lang w:val="en-US" w:eastAsia="zh-CN"/>
        </w:rPr>
        <w:t>a</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sz w:val="21"/>
          <w:szCs w:val="21"/>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highlight w:val="none"/>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 w:val="21"/>
          <w:szCs w:val="21"/>
          <w:highlight w:val="none"/>
          <w:lang w:val="en-US" w:eastAsia="zh-CN"/>
        </w:rPr>
        <w:t>(b)</w:t>
      </w:r>
      <w:r>
        <w:rPr>
          <w:rFonts w:hint="eastAsia" w:asciiTheme="minorEastAsia" w:hAnsiTheme="minorEastAsia" w:eastAsiaTheme="minorEastAsia" w:cstheme="minorEastAsia"/>
          <w:sz w:val="21"/>
          <w:szCs w:val="21"/>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12"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《中小企业声明函》中相关企业所属行业应当与采购标的所属行业相一致。</w:t>
      </w:r>
      <w:r>
        <w:rPr>
          <w:rFonts w:hint="eastAsia" w:asciiTheme="minorEastAsia" w:hAnsiTheme="minorEastAsia" w:eastAsiaTheme="minorEastAsia" w:cstheme="minorEastAsia"/>
          <w:sz w:val="21"/>
          <w:szCs w:val="21"/>
          <w:highlight w:val="none"/>
        </w:rPr>
        <w:t>本项目</w:t>
      </w:r>
      <w:bookmarkStart w:id="13" w:name="_Hlk71924718"/>
      <w:r>
        <w:rPr>
          <w:rFonts w:hint="eastAsia" w:asciiTheme="minorEastAsia" w:hAnsiTheme="minorEastAsia" w:eastAsiaTheme="minorEastAsia" w:cstheme="minorEastAsia"/>
          <w:sz w:val="21"/>
          <w:szCs w:val="21"/>
          <w:highlight w:val="none"/>
        </w:rPr>
        <w:t>采购标的（货物）对应的中小企业划分标准所属行业</w:t>
      </w:r>
      <w:bookmarkEnd w:id="13"/>
      <w:r>
        <w:rPr>
          <w:rFonts w:hint="eastAsia" w:asciiTheme="minorEastAsia" w:hAnsiTheme="minorEastAsia" w:eastAsiaTheme="minorEastAsia" w:cstheme="minorEastAsia"/>
          <w:sz w:val="21"/>
          <w:szCs w:val="21"/>
          <w:highlight w:val="none"/>
        </w:rPr>
        <w:t>为</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cstheme="minorEastAsia"/>
          <w:b/>
          <w:bCs/>
          <w:color w:val="FF0000"/>
          <w:sz w:val="24"/>
          <w:szCs w:val="24"/>
          <w:highlight w:val="none"/>
          <w:u w:val="single"/>
          <w:lang w:val="en-US" w:eastAsia="zh-CN"/>
        </w:rPr>
        <w:t>工业</w:t>
      </w:r>
      <w:r>
        <w:rPr>
          <w:rFonts w:hint="eastAsia" w:asciiTheme="minorEastAsia" w:hAnsiTheme="minorEastAsia" w:eastAsiaTheme="minorEastAsia" w:cstheme="minorEastAsia"/>
          <w:color w:val="FF0000"/>
          <w:sz w:val="21"/>
          <w:szCs w:val="21"/>
          <w:highlight w:val="none"/>
          <w:u w:val="single"/>
        </w:rPr>
        <w:t xml:space="preserve">  </w:t>
      </w:r>
      <w:r>
        <w:rPr>
          <w:rFonts w:hint="eastAsia" w:asciiTheme="minorEastAsia" w:hAnsiTheme="minorEastAsia" w:eastAsiaTheme="minorEastAsia" w:cstheme="minorEastAsia"/>
          <w:sz w:val="21"/>
          <w:szCs w:val="21"/>
          <w:highlight w:val="none"/>
        </w:rPr>
        <w:t>。</w:t>
      </w:r>
      <w:bookmarkEnd w:id="12"/>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heme="minorEastAsia" w:hAnsi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章“投标文件组成要求及格式”中“中小企业声明函、残疾人福利性单位声明函及监狱企业声明函”章节提供的格式）。</w:t>
      </w:r>
    </w:p>
    <w:p>
      <w:pPr>
        <w:tabs>
          <w:tab w:val="left" w:pos="720"/>
        </w:tabs>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）享受价格扣除获得政府采购合同的，小微企业不得将合同分包给大中型企业。</w:t>
      </w:r>
    </w:p>
    <w:p>
      <w:pPr>
        <w:tabs>
          <w:tab w:val="left" w:pos="720"/>
        </w:tabs>
        <w:ind w:firstLine="480" w:firstLineChars="200"/>
        <w:rPr>
          <w:rFonts w:ascii="黑体" w:hAnsi="宋体" w:eastAsia="黑体"/>
          <w:sz w:val="24"/>
          <w:highlight w:val="none"/>
        </w:rPr>
      </w:pPr>
    </w:p>
    <w:p>
      <w:pPr>
        <w:spacing w:line="360" w:lineRule="auto"/>
        <w:rPr>
          <w:rFonts w:ascii="宋体" w:hAnsi="宋体" w:eastAsia="宋体" w:cs="宋体"/>
          <w:b/>
          <w:bCs/>
          <w:szCs w:val="24"/>
          <w:highlight w:val="none"/>
        </w:rPr>
      </w:pPr>
      <w:r>
        <w:rPr>
          <w:rFonts w:hint="eastAsia" w:ascii="宋体" w:hAnsi="宋体" w:eastAsia="宋体" w:cs="宋体"/>
          <w:b/>
          <w:bCs/>
          <w:szCs w:val="24"/>
          <w:highlight w:val="none"/>
        </w:rPr>
        <w:t>2.关于政府采购订单融资政策</w:t>
      </w:r>
    </w:p>
    <w:p>
      <w:pPr>
        <w:ind w:firstLine="420" w:firstLineChars="200"/>
        <w:rPr>
          <w:rFonts w:ascii="宋体" w:hAnsi="宋体" w:eastAsia="宋体" w:cs="Times New Roman"/>
          <w:b/>
          <w:szCs w:val="24"/>
          <w:highlight w:val="none"/>
        </w:rPr>
      </w:pPr>
      <w:r>
        <w:rPr>
          <w:rFonts w:hint="eastAsia" w:ascii="Times New Roman" w:hAnsi="Times New Roman" w:eastAsia="宋体" w:cs="Times New Roman"/>
          <w:color w:val="FF0000"/>
          <w:szCs w:val="24"/>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tabs>
          <w:tab w:val="left" w:pos="720"/>
        </w:tabs>
        <w:rPr>
          <w:rFonts w:ascii="黑体" w:hAnsi="宋体" w:eastAsia="黑体"/>
          <w:sz w:val="24"/>
          <w:highlight w:val="none"/>
        </w:rPr>
      </w:pPr>
    </w:p>
    <w:p>
      <w:pPr>
        <w:tabs>
          <w:tab w:val="left" w:pos="720"/>
        </w:tabs>
        <w:rPr>
          <w:rFonts w:hint="eastAsia" w:ascii="宋体" w:hAnsi="宋体"/>
          <w:b/>
          <w:bCs/>
          <w:color w:val="FF0000"/>
          <w:highlight w:val="none"/>
          <w:lang w:eastAsia="zh-CN"/>
        </w:rPr>
      </w:pPr>
      <w:r>
        <w:rPr>
          <w:rFonts w:hint="eastAsia" w:ascii="宋体" w:hAnsi="宋体"/>
          <w:b/>
          <w:bCs/>
          <w:color w:val="FF0000"/>
          <w:highlight w:val="none"/>
        </w:rPr>
        <w:t>3、</w:t>
      </w:r>
      <w:r>
        <w:rPr>
          <w:rFonts w:ascii="宋体" w:hAnsi="宋体"/>
          <w:b/>
          <w:bCs/>
          <w:color w:val="FF0000"/>
          <w:highlight w:val="none"/>
        </w:rPr>
        <w:t>本项目为代理服务项目，将向中标</w:t>
      </w:r>
      <w:r>
        <w:rPr>
          <w:rFonts w:hint="eastAsia" w:ascii="宋体" w:hAnsi="宋体"/>
          <w:b/>
          <w:bCs/>
          <w:color w:val="FF0000"/>
          <w:highlight w:val="none"/>
        </w:rPr>
        <w:t>（成交）</w:t>
      </w:r>
      <w:r>
        <w:rPr>
          <w:rFonts w:ascii="宋体" w:hAnsi="宋体"/>
          <w:b/>
          <w:bCs/>
          <w:color w:val="FF0000"/>
          <w:highlight w:val="none"/>
        </w:rPr>
        <w:t>供应商收取代理服务费</w:t>
      </w:r>
      <w:r>
        <w:rPr>
          <w:rFonts w:hint="eastAsia" w:ascii="宋体" w:hAnsi="宋体"/>
          <w:b/>
          <w:bCs/>
          <w:color w:val="FF0000"/>
          <w:highlight w:val="none"/>
          <w:lang w:eastAsia="zh-CN"/>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供应商在领取《中标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通知书》之前须向深圳公共资源交易中心（深圳交易集团有限公司</w:t>
      </w:r>
      <w:r>
        <w:rPr>
          <w:rFonts w:hint="eastAsia" w:ascii="宋体" w:hAnsi="宋体"/>
          <w:color w:val="FF0000"/>
          <w:szCs w:val="21"/>
          <w:highlight w:val="none"/>
          <w:lang w:val="en-US" w:eastAsia="zh-CN"/>
        </w:rPr>
        <w:t>宝安</w:t>
      </w:r>
      <w:r>
        <w:rPr>
          <w:rFonts w:hint="eastAsia" w:ascii="宋体" w:hAnsi="宋体"/>
          <w:color w:val="FF0000"/>
          <w:szCs w:val="21"/>
          <w:highlight w:val="none"/>
        </w:rPr>
        <w:t>分公司）交纳代理服务费。若因中标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供应商交纳代理服务费所产生的时间影响到合同签订的，由中标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供应商自行承担责任。代理服务费标准参照</w:t>
      </w:r>
      <w:r>
        <w:rPr>
          <w:rFonts w:hint="eastAsia" w:ascii="宋体" w:hAnsi="宋体"/>
          <w:color w:val="FF0000"/>
          <w:szCs w:val="21"/>
          <w:highlight w:val="none"/>
          <w:lang w:val="en-US" w:eastAsia="zh-CN"/>
        </w:rPr>
        <w:t>下列</w:t>
      </w:r>
      <w:r>
        <w:rPr>
          <w:rFonts w:hint="eastAsia" w:ascii="宋体" w:hAnsi="宋体"/>
          <w:color w:val="FF0000"/>
          <w:szCs w:val="21"/>
          <w:highlight w:val="none"/>
        </w:rPr>
        <w:t>标准收取。本项目类型为</w:t>
      </w:r>
      <w:r>
        <w:rPr>
          <w:rFonts w:hint="eastAsia" w:ascii="宋体" w:hAnsi="宋体"/>
          <w:b/>
          <w:bCs/>
          <w:color w:val="FF0000"/>
          <w:szCs w:val="21"/>
          <w:highlight w:val="none"/>
          <w:u w:val="single"/>
        </w:rPr>
        <w:t>货物采购</w:t>
      </w:r>
      <w:r>
        <w:rPr>
          <w:rFonts w:hint="eastAsia" w:ascii="宋体" w:hAnsi="宋体"/>
          <w:color w:val="FF0000"/>
          <w:szCs w:val="21"/>
          <w:highlight w:val="none"/>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1</w:t>
      </w:r>
      <w:r>
        <w:rPr>
          <w:rFonts w:hint="eastAsia" w:ascii="宋体" w:hAnsi="宋体"/>
          <w:color w:val="FF0000"/>
          <w:szCs w:val="21"/>
          <w:highlight w:val="none"/>
        </w:rPr>
        <w:t>）代理服务费以《中标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通知书》确定的中标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金额作为计算基数，按差额定率累进法计算。</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2</w:t>
      </w: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金额的各部分费率如下表：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货物采购</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服务采购</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100万元以下</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100万元（含）-500万元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1.1%</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500万元（含）-1000万元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0.45%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1000万元（含）-5000万元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5000万元（含）-1亿元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0.1%</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1亿元（含）-5亿元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5亿元（含）-10亿元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10亿元（含）-50亿元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50亿元（含）-100亿元</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100亿元（含）以上</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r>
    </w:tbl>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 xml:space="preserve">备注：1.每宗交易代理服务费不低于 </w:t>
      </w:r>
      <w:r>
        <w:rPr>
          <w:rFonts w:hint="eastAsia" w:ascii="宋体" w:hAnsi="宋体"/>
          <w:color w:val="FF0000"/>
          <w:szCs w:val="21"/>
          <w:highlight w:val="none"/>
          <w:lang w:val="en-US" w:eastAsia="zh-CN"/>
        </w:rPr>
        <w:t>5</w:t>
      </w:r>
      <w:r>
        <w:rPr>
          <w:rFonts w:hint="eastAsia" w:ascii="宋体" w:hAnsi="宋体"/>
          <w:color w:val="FF0000"/>
          <w:szCs w:val="21"/>
          <w:highlight w:val="none"/>
        </w:rPr>
        <w:t>000 元；</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2.对于报总价的采购类项目，中标（成交）价为中标（成交）金额；对于报单价或折扣或费率的采购类项目，中标（成交）价为预算上限金额或经委托方与代理方确定的支付上限金额</w:t>
      </w:r>
      <w:r>
        <w:rPr>
          <w:rFonts w:hint="eastAsia" w:ascii="宋体" w:hAnsi="宋体"/>
          <w:color w:val="FF0000"/>
          <w:szCs w:val="21"/>
          <w:highlight w:val="none"/>
          <w:lang w:eastAsia="zh-CN"/>
        </w:rPr>
        <w:t>。</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如某货物采购项目，中标（成交）金额为600万元，总共交纳的代理服务费的具体计算过程如下：</w:t>
      </w:r>
    </w:p>
    <w:p>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ascii="宋体" w:hAnsi="宋体" w:eastAsia="黑体" w:cs="Times New Roman"/>
          <w:bCs/>
          <w:kern w:val="44"/>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3</w:t>
      </w:r>
      <w:r>
        <w:rPr>
          <w:rFonts w:hint="eastAsia" w:ascii="宋体" w:hAnsi="宋体"/>
          <w:color w:val="FF0000"/>
          <w:szCs w:val="21"/>
          <w:highlight w:val="none"/>
        </w:rPr>
        <w:t>）中标（成交）供应商成交后，必须按规定采用银行对公转账方式向深圳交易集团有限公司直接交纳代理服务费，交纳信息及要求按照缴款（付款）通知书执行。</w:t>
      </w:r>
    </w:p>
    <w:p>
      <w:pPr>
        <w:widowControl/>
        <w:ind w:firstLine="420"/>
        <w:jc w:val="left"/>
        <w:rPr>
          <w:rFonts w:ascii="宋体" w:hAnsi="宋体"/>
          <w:color w:val="FF0000"/>
          <w:szCs w:val="21"/>
          <w:highlight w:val="none"/>
        </w:rPr>
      </w:pPr>
    </w:p>
    <w:p>
      <w:pPr>
        <w:widowControl/>
        <w:ind w:firstLine="420"/>
        <w:jc w:val="left"/>
        <w:rPr>
          <w:rFonts w:ascii="宋体" w:hAnsi="宋体" w:eastAsia="黑体" w:cs="Times New Roman"/>
          <w:bCs/>
          <w:kern w:val="44"/>
          <w:szCs w:val="21"/>
          <w:highlight w:val="none"/>
        </w:rPr>
      </w:pPr>
    </w:p>
    <w:p>
      <w:pPr>
        <w:widowControl/>
        <w:jc w:val="left"/>
        <w:rPr>
          <w:rFonts w:ascii="宋体" w:hAnsi="宋体" w:eastAsia="黑体" w:cs="Times New Roman"/>
          <w:bCs/>
          <w:kern w:val="44"/>
          <w:sz w:val="28"/>
          <w:szCs w:val="44"/>
          <w:highlight w:val="none"/>
        </w:rPr>
      </w:pPr>
      <w:r>
        <w:rPr>
          <w:rFonts w:ascii="宋体" w:hAnsi="宋体" w:eastAsia="黑体" w:cs="Times New Roman"/>
          <w:bCs/>
          <w:kern w:val="44"/>
          <w:sz w:val="28"/>
          <w:szCs w:val="44"/>
          <w:highlight w:val="none"/>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第三章 用户需求书</w:t>
      </w:r>
    </w:p>
    <w:p>
      <w:pPr>
        <w:keepNext/>
        <w:keepLines/>
        <w:tabs>
          <w:tab w:val="left" w:pos="1680"/>
        </w:tabs>
        <w:spacing w:before="260" w:afterLines="25"/>
        <w:jc w:val="center"/>
        <w:outlineLvl w:val="2"/>
        <w:rPr>
          <w:rFonts w:ascii="Arial" w:hAnsi="Arial" w:eastAsia="宋体" w:cs="Times New Roman"/>
          <w:b/>
          <w:sz w:val="32"/>
          <w:szCs w:val="32"/>
          <w:highlight w:val="none"/>
        </w:rPr>
      </w:pPr>
      <w:r>
        <w:rPr>
          <w:rFonts w:hint="eastAsia" w:ascii="Arial" w:hAnsi="Arial" w:eastAsia="宋体" w:cs="Times New Roman"/>
          <w:b/>
          <w:sz w:val="32"/>
          <w:szCs w:val="32"/>
          <w:highlight w:val="none"/>
        </w:rPr>
        <w:t>一、项目基本信息</w:t>
      </w:r>
    </w:p>
    <w:tbl>
      <w:tblPr>
        <w:tblStyle w:val="16"/>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highlight w:val="none"/>
              </w:rPr>
            </w:pPr>
            <w:r>
              <w:rPr>
                <w:rFonts w:hint="eastAsia"/>
                <w:b w:val="0"/>
                <w:bCs w:val="0"/>
                <w:highlight w:val="none"/>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采购计划编号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b w:val="0"/>
                <w:bCs w:val="0"/>
                <w:highlight w:val="none"/>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highlight w:val="none"/>
              </w:rPr>
            </w:pPr>
            <w:r>
              <w:rPr>
                <w:rFonts w:hint="eastAsia" w:asciiTheme="minorEastAsia" w:hAnsiTheme="minorEastAsia"/>
                <w:b w:val="0"/>
                <w:bCs w:val="0"/>
                <w:sz w:val="24"/>
                <w:szCs w:val="24"/>
                <w:highlight w:val="none"/>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BAJYJ2024060606112A</w:t>
            </w:r>
          </w:p>
        </w:tc>
        <w:tc>
          <w:tcPr>
            <w:tcW w:w="2906" w:type="dxa"/>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b w:val="0"/>
                <w:bCs w:val="0"/>
                <w:sz w:val="24"/>
                <w:szCs w:val="24"/>
                <w:highlight w:val="none"/>
                <w:lang w:eastAsia="zh-CN"/>
              </w:rPr>
            </w:pPr>
            <w:r>
              <w:rPr>
                <w:rFonts w:hint="eastAsia" w:asciiTheme="minorEastAsia" w:hAnsiTheme="minorEastAsia"/>
                <w:b w:val="0"/>
                <w:bCs w:val="0"/>
                <w:sz w:val="24"/>
                <w:szCs w:val="24"/>
                <w:highlight w:val="none"/>
                <w:lang w:eastAsia="zh-CN"/>
              </w:rPr>
              <w:t>深圳市福海中学常规教学仪器</w:t>
            </w:r>
          </w:p>
          <w:p>
            <w:pPr>
              <w:jc w:val="center"/>
              <w:rPr>
                <w:b w:val="0"/>
                <w:bCs w:val="0"/>
                <w:highlight w:val="none"/>
              </w:rPr>
            </w:pP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600,000.00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eastAsia" w:eastAsiaTheme="minorEastAsia"/>
                <w:b w:val="0"/>
                <w:bCs w:val="0"/>
                <w:highlight w:val="none"/>
                <w:lang w:val="en-US" w:eastAsia="zh-CN"/>
              </w:rPr>
            </w:pPr>
            <w:r>
              <w:rPr>
                <w:rFonts w:hint="eastAsia"/>
                <w:b w:val="0"/>
                <w:bCs w:val="0"/>
                <w:highlight w:val="none"/>
                <w:lang w:val="en-US" w:eastAsia="zh-CN"/>
              </w:rPr>
              <w:t>合计（元）</w:t>
            </w:r>
          </w:p>
        </w:tc>
        <w:tc>
          <w:tcPr>
            <w:tcW w:w="262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600,000.00</w:t>
            </w:r>
          </w:p>
        </w:tc>
      </w:tr>
    </w:tbl>
    <w:p>
      <w:pPr>
        <w:jc w:val="both"/>
        <w:rPr>
          <w:sz w:val="24"/>
          <w:szCs w:val="24"/>
          <w:highlight w:val="none"/>
        </w:rPr>
      </w:pPr>
      <w:r>
        <w:rPr>
          <w:rFonts w:hint="eastAsia" w:ascii="Arial" w:hAnsi="Arial" w:eastAsia="宋体" w:cs="Times New Roman"/>
          <w:b/>
          <w:color w:val="FF0000"/>
          <w:sz w:val="24"/>
          <w:szCs w:val="24"/>
          <w:highlight w:val="none"/>
        </w:rPr>
        <w:t>本项目控制金额为人民币</w:t>
      </w:r>
      <w:r>
        <w:rPr>
          <w:rFonts w:hint="eastAsia" w:ascii="Arial" w:hAnsi="Arial" w:eastAsia="宋体" w:cs="Times New Roman"/>
          <w:b/>
          <w:color w:val="0000FF"/>
          <w:sz w:val="24"/>
          <w:szCs w:val="24"/>
          <w:highlight w:val="none"/>
          <w:lang w:val="en-US" w:eastAsia="zh-CN"/>
        </w:rPr>
        <w:t>600,000.00元</w:t>
      </w:r>
      <w:r>
        <w:rPr>
          <w:rFonts w:hint="eastAsia" w:ascii="Arial" w:hAnsi="Arial" w:eastAsia="宋体" w:cs="Times New Roman"/>
          <w:b/>
          <w:color w:val="FF0000"/>
          <w:sz w:val="24"/>
          <w:szCs w:val="24"/>
          <w:highlight w:val="none"/>
        </w:rPr>
        <w:t>，投标报价超出控制金额将作投标无效处理。</w:t>
      </w:r>
    </w:p>
    <w:p>
      <w:pPr>
        <w:keepNext/>
        <w:keepLines/>
        <w:tabs>
          <w:tab w:val="left" w:pos="1680"/>
        </w:tabs>
        <w:spacing w:before="260" w:afterLines="25"/>
        <w:jc w:val="center"/>
        <w:outlineLvl w:val="2"/>
        <w:rPr>
          <w:rFonts w:ascii="Arial" w:hAnsi="Arial" w:eastAsia="宋体" w:cs="Times New Roman"/>
          <w:b/>
          <w:sz w:val="32"/>
          <w:szCs w:val="32"/>
          <w:highlight w:val="none"/>
        </w:rPr>
      </w:pPr>
      <w:r>
        <w:rPr>
          <w:rFonts w:hint="eastAsia" w:ascii="Arial" w:hAnsi="Arial" w:eastAsia="宋体" w:cs="Times New Roman"/>
          <w:b/>
          <w:sz w:val="32"/>
          <w:szCs w:val="32"/>
          <w:highlight w:val="none"/>
        </w:rPr>
        <w:t>二、货物需求明细</w:t>
      </w:r>
    </w:p>
    <w:p>
      <w:pPr>
        <w:rPr>
          <w:highlight w:val="none"/>
        </w:rPr>
      </w:pPr>
      <w:r>
        <w:rPr>
          <w:rFonts w:hint="eastAsia" w:ascii="宋体" w:hAnsi="宋体"/>
          <w:b/>
          <w:color w:val="FF0000"/>
          <w:sz w:val="32"/>
          <w:szCs w:val="32"/>
          <w:highlight w:val="none"/>
        </w:rPr>
        <w:t>本项目核心产品为：</w:t>
      </w:r>
      <w:r>
        <w:rPr>
          <w:rFonts w:hint="eastAsia" w:ascii="宋体" w:hAnsi="宋体"/>
          <w:b/>
          <w:color w:val="FF0000"/>
          <w:sz w:val="32"/>
          <w:szCs w:val="32"/>
          <w:highlight w:val="none"/>
          <w:u w:val="single"/>
        </w:rPr>
        <w:t xml:space="preserve">       </w:t>
      </w:r>
      <w:r>
        <w:rPr>
          <w:rFonts w:hint="eastAsia" w:ascii="宋体" w:hAnsi="宋体" w:eastAsia="宋体" w:cs="Times New Roman"/>
          <w:b w:val="0"/>
          <w:bCs/>
          <w:sz w:val="32"/>
          <w:szCs w:val="32"/>
          <w:highlight w:val="none"/>
        </w:rPr>
        <w:t>（没有核心产品的删除此处）</w:t>
      </w:r>
    </w:p>
    <w:tbl>
      <w:tblPr>
        <w:tblStyle w:val="16"/>
        <w:tblW w:w="4998" w:type="pct"/>
        <w:jc w:val="center"/>
        <w:tblLayout w:type="autofit"/>
        <w:tblCellMar>
          <w:top w:w="0" w:type="dxa"/>
          <w:left w:w="108" w:type="dxa"/>
          <w:bottom w:w="0" w:type="dxa"/>
          <w:right w:w="108" w:type="dxa"/>
        </w:tblCellMar>
      </w:tblPr>
      <w:tblGrid>
        <w:gridCol w:w="792"/>
        <w:gridCol w:w="3959"/>
        <w:gridCol w:w="925"/>
        <w:gridCol w:w="927"/>
        <w:gridCol w:w="959"/>
        <w:gridCol w:w="957"/>
      </w:tblGrid>
      <w:tr>
        <w:tblPrEx>
          <w:tblCellMar>
            <w:top w:w="0" w:type="dxa"/>
            <w:left w:w="108" w:type="dxa"/>
            <w:bottom w:w="0" w:type="dxa"/>
            <w:right w:w="108" w:type="dxa"/>
          </w:tblCellMar>
        </w:tblPrEx>
        <w:trPr>
          <w:trHeight w:val="840" w:hRule="atLeast"/>
          <w:jc w:val="center"/>
        </w:trPr>
        <w:tc>
          <w:tcPr>
            <w:tcW w:w="465"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szCs w:val="21"/>
                <w:highlight w:val="none"/>
              </w:rPr>
            </w:pPr>
            <w:r>
              <w:rPr>
                <w:rFonts w:hint="eastAsia"/>
                <w:b w:val="0"/>
                <w:bCs w:val="0"/>
                <w:highlight w:val="none"/>
              </w:rPr>
              <w:t>序号</w:t>
            </w:r>
          </w:p>
        </w:tc>
        <w:tc>
          <w:tcPr>
            <w:tcW w:w="2323" w:type="pct"/>
            <w:tcBorders>
              <w:top w:val="single" w:color="000000" w:sz="8" w:space="0"/>
              <w:left w:val="nil"/>
              <w:bottom w:val="single" w:color="000000" w:sz="8" w:space="0"/>
              <w:right w:val="single" w:color="000000" w:sz="8" w:space="0"/>
            </w:tcBorders>
            <w:vAlign w:val="center"/>
          </w:tcPr>
          <w:p>
            <w:pPr>
              <w:jc w:val="center"/>
              <w:rPr>
                <w:rFonts w:ascii="宋体" w:hAnsi="宋体" w:cs="宋体"/>
                <w:b/>
                <w:bCs/>
                <w:szCs w:val="21"/>
                <w:highlight w:val="none"/>
              </w:rPr>
            </w:pPr>
            <w:r>
              <w:rPr>
                <w:rFonts w:hint="eastAsia"/>
                <w:b w:val="0"/>
                <w:bCs w:val="0"/>
                <w:highlight w:val="none"/>
                <w:lang w:val="en-US" w:eastAsia="zh-CN"/>
              </w:rPr>
              <w:t>货物</w:t>
            </w:r>
            <w:r>
              <w:rPr>
                <w:rFonts w:hint="eastAsia"/>
                <w:b w:val="0"/>
                <w:bCs w:val="0"/>
                <w:highlight w:val="none"/>
              </w:rPr>
              <w:t>名称（标的名称）</w:t>
            </w:r>
          </w:p>
        </w:tc>
        <w:tc>
          <w:tcPr>
            <w:tcW w:w="543" w:type="pct"/>
            <w:tcBorders>
              <w:top w:val="single" w:color="000000" w:sz="8" w:space="0"/>
              <w:left w:val="nil"/>
              <w:bottom w:val="single" w:color="000000" w:sz="8" w:space="0"/>
              <w:right w:val="single" w:color="000000" w:sz="8" w:space="0"/>
            </w:tcBorders>
            <w:vAlign w:val="center"/>
          </w:tcPr>
          <w:p>
            <w:pPr>
              <w:jc w:val="center"/>
              <w:rPr>
                <w:rFonts w:ascii="宋体" w:hAnsi="宋体" w:cs="宋体"/>
                <w:b/>
                <w:bCs/>
                <w:szCs w:val="21"/>
                <w:highlight w:val="none"/>
              </w:rPr>
            </w:pPr>
            <w:r>
              <w:rPr>
                <w:rFonts w:hint="eastAsia"/>
                <w:b w:val="0"/>
                <w:bCs w:val="0"/>
                <w:highlight w:val="none"/>
              </w:rPr>
              <w:t>数量</w:t>
            </w:r>
          </w:p>
        </w:tc>
        <w:tc>
          <w:tcPr>
            <w:tcW w:w="544" w:type="pct"/>
            <w:tcBorders>
              <w:top w:val="single" w:color="000000" w:sz="8" w:space="0"/>
              <w:left w:val="nil"/>
              <w:bottom w:val="single" w:color="000000" w:sz="8" w:space="0"/>
              <w:right w:val="single" w:color="000000" w:sz="8" w:space="0"/>
            </w:tcBorders>
            <w:vAlign w:val="center"/>
          </w:tcPr>
          <w:p>
            <w:pPr>
              <w:jc w:val="center"/>
              <w:rPr>
                <w:rFonts w:ascii="宋体" w:hAnsi="宋体" w:cs="宋体"/>
                <w:b/>
                <w:bCs/>
                <w:szCs w:val="21"/>
                <w:highlight w:val="none"/>
              </w:rPr>
            </w:pPr>
            <w:r>
              <w:rPr>
                <w:rFonts w:hint="eastAsia"/>
                <w:b w:val="0"/>
                <w:bCs w:val="0"/>
                <w:highlight w:val="none"/>
              </w:rPr>
              <w:t>单位</w:t>
            </w:r>
          </w:p>
        </w:tc>
        <w:tc>
          <w:tcPr>
            <w:tcW w:w="561" w:type="pct"/>
            <w:tcBorders>
              <w:top w:val="single" w:color="000000" w:sz="8" w:space="0"/>
              <w:left w:val="nil"/>
              <w:bottom w:val="single" w:color="000000" w:sz="8" w:space="0"/>
              <w:right w:val="single" w:color="000000" w:sz="8" w:space="0"/>
            </w:tcBorders>
            <w:vAlign w:val="center"/>
          </w:tcPr>
          <w:p>
            <w:pPr>
              <w:jc w:val="center"/>
              <w:rPr>
                <w:rFonts w:ascii="宋体" w:hAnsi="宋体" w:cs="宋体"/>
                <w:b/>
                <w:bCs/>
                <w:szCs w:val="21"/>
                <w:highlight w:val="none"/>
              </w:rPr>
            </w:pPr>
            <w:r>
              <w:rPr>
                <w:rFonts w:hint="eastAsia"/>
                <w:b w:val="0"/>
                <w:bCs w:val="0"/>
                <w:highlight w:val="none"/>
              </w:rPr>
              <w:t>备注</w:t>
            </w:r>
          </w:p>
        </w:tc>
        <w:tc>
          <w:tcPr>
            <w:tcW w:w="561" w:type="pct"/>
            <w:tcBorders>
              <w:top w:val="single" w:color="000000" w:sz="8" w:space="0"/>
              <w:left w:val="nil"/>
              <w:bottom w:val="single" w:color="000000" w:sz="8" w:space="0"/>
              <w:right w:val="single" w:color="000000" w:sz="8" w:space="0"/>
            </w:tcBorders>
            <w:vAlign w:val="center"/>
          </w:tcPr>
          <w:p>
            <w:pPr>
              <w:jc w:val="center"/>
              <w:rPr>
                <w:rFonts w:hint="eastAsia"/>
                <w:b w:val="0"/>
                <w:bCs w:val="0"/>
                <w:highlight w:val="none"/>
              </w:rPr>
            </w:pPr>
            <w:r>
              <w:rPr>
                <w:rFonts w:hint="eastAsia"/>
                <w:b w:val="0"/>
                <w:bCs w:val="0"/>
                <w:highlight w:val="none"/>
              </w:rPr>
              <w:t>所属行业</w:t>
            </w: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tabs>
                <w:tab w:val="left" w:pos="420"/>
              </w:tabs>
              <w:ind w:left="425"/>
              <w:rPr>
                <w:rFonts w:ascii="宋体" w:hAnsi="宋体" w:cs="宋体"/>
                <w:szCs w:val="21"/>
                <w:highlight w:val="none"/>
              </w:rPr>
            </w:pPr>
          </w:p>
        </w:tc>
        <w:tc>
          <w:tcPr>
            <w:tcW w:w="3973" w:type="pct"/>
            <w:gridSpan w:val="4"/>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r>
              <w:rPr>
                <w:rFonts w:hint="eastAsia" w:ascii="宋体" w:hAnsi="宋体" w:cs="宋体"/>
                <w:szCs w:val="21"/>
                <w:highlight w:val="none"/>
              </w:rPr>
              <w:t>一、化学部分</w:t>
            </w:r>
          </w:p>
        </w:tc>
        <w:tc>
          <w:tcPr>
            <w:tcW w:w="561" w:type="pct"/>
            <w:vMerge w:val="restart"/>
            <w:tcBorders>
              <w:top w:val="nil"/>
              <w:left w:val="nil"/>
              <w:right w:val="single" w:color="000000" w:sz="8" w:space="0"/>
            </w:tcBorders>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仪器车</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辆</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电动离心机1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电动离心机2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磁力加热搅拌器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酒精喷灯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电加热器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电冰箱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水浴锅</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保温漏斗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注射器1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注射器2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注射器3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注射器4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注射器5</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塑料洗瓶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碘升华凝华管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循环水真空泵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三脚架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泥三角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漏斗架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高中学生电源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高中教学电源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托盘天平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电子天平1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电子天平2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电子天平3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电子天平4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电子停表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温度计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温度计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数字测温计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70"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直流电流表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灵敏电流计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多用电表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演示电流电压表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tcPr>
          <w:p>
            <w:pPr>
              <w:jc w:val="center"/>
              <w:rPr>
                <w:rFonts w:ascii="宋体" w:hAnsi="宋体" w:cs="宋体"/>
                <w:szCs w:val="21"/>
                <w:highlight w:val="none"/>
              </w:rPr>
            </w:pPr>
          </w:p>
        </w:tc>
        <w:tc>
          <w:tcPr>
            <w:tcW w:w="561" w:type="pct"/>
            <w:vMerge w:val="continue"/>
            <w:tcBorders>
              <w:left w:val="nil"/>
              <w:right w:val="single" w:color="000000" w:sz="8" w:space="0"/>
            </w:tcBorders>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bCs/>
                <w:kern w:val="0"/>
                <w:szCs w:val="21"/>
                <w:highlight w:val="none"/>
                <w:lang w:bidi="ar"/>
              </w:rPr>
              <w:t>比重计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bCs/>
                <w:kern w:val="0"/>
                <w:szCs w:val="21"/>
                <w:highlight w:val="none"/>
                <w:lang w:bidi="ar"/>
              </w:rPr>
              <w:t>比轻计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酸度计(pH计)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原电池实验器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溶液导电演示器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中和热测定仪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氢燃料电池演示器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氢燃料电池实验器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电解槽演示器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离子交换柱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电泳演示器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二氧化氮球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渗析实验器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放电反应实验仪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光化学实验演示器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化学实验演示平台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炼铁高炉模型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分子结构模型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金刚石结构模型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石墨结构模型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碳-60结构模型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氯化钠晶体结构模型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碳的同素异形体结构模型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氯化铯晶体结构模型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二氧化碳晶体结构模型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二氧化硅晶体结构模型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金属晶体结构模型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电子云杂化轨道模型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气体摩尔体积模型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沸腾焙烧炉模型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硫酸接触室模型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氨合成塔模型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炼钢转炉模型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金属矿物、金属及合金标本</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原油常见馏分标本</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合成有机高分子材料标本</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新型无机非金属材料标本</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复合材料标本</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量筒5</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量筒6</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量杯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容量瓶1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容量瓶2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容量瓶3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滴定管3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移液管1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移液管2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移液管3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具支试管1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具支试管2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硬质玻璃管1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硬质玻璃管2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Y形试管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烧杯5</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烧杯6</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烧杯7</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烧杯8</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烧瓶4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锥形瓶1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锥形瓶2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蒸馏烧瓶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三口烧瓶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气体发生器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冷凝器1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冷凝器2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牛角管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漏斗1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漏斗2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安全漏斗1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安全漏斗2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分液漏斗1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分液漏斗2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布氏漏斗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T形管1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Y形管1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T形管2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Y形管2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离心管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干燥管1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干燥管2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干燥管3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干燥管4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活塞1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活塞2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圆水槽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钴玻璃片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集气瓶1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集气瓶2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集气瓶3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液封除毒气集气瓶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广口瓶1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广口瓶2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广口瓶3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广口瓶4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广口瓶5</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细口瓶5</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细口瓶6</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细口瓶7</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细口瓶8</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滴瓶1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滴瓶2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滴瓶3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滴瓶4</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称量瓶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坩埚</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坩埚钳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烧杯夹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镊子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水止皮管夹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螺旋皮管夹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石棉网</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隔热网</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二连球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燃烧匙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药匙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玻璃管1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玻璃管2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玻璃棒1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玻璃棒2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软胶塞</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橡胶管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乳胶管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米</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洗耳球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试管刷1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试管刷2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试管刷3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烧瓶刷</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滴定管刷</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结晶皿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表面皿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表面皿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研钵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研钵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蒸发皿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反应板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塑料多用滴管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白金丝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培养皿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镁条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铝(条)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铝(片)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铝(箔)</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锌(粒)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铁(还原铁粉)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铁(丝)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铜(紫铜片)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铜(丝)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碘</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活性炭</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二氧化锰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三氧化二铁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氧化铜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氧化铝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氯化钙(无水)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三氯化铁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氯化亚铁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氯化亚锡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溴化钠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溴化钾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溴化铜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碘化铅</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碘化钾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亚硫酸钠(无水)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硫酸亚铁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硫酸亚铁铵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硫酸铜(蓝矾、胆矾)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硫酸铜(无水)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硫酸铝钾(明矾)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硫酸锌</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硫化亚铁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铁氰化钾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氯化钡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碳酸钠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碳酸氢钠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大理石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碳酸氢铵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硅酸钠(水玻璃)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乙酸铅</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硫氰酸钾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硫代硫酸钠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硼酸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氢氧化钡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氨水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氧化钙(生石灰)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氢氧化钙(熟石灰)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碱石灰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丙三醇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葡萄糖</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蔗糖</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可溶性淀粉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煤油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植物油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石蜡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石蜡(油)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苯甲酸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硬脂酸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硬脂酸丁酯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琼脂</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石蕊</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酚酞</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品红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甲基橙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pH广范围试纸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本</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试纸1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本</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试纸2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本</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试纸3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本</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亚甲基蓝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滤纸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乙醛</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乙酸乙酯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乙酸1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乙酸2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氢氧化钾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氢氧化钠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甲醛</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高中化学实验材料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份</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电极材料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套 </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覆铜板1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覆铜板2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一字螺丝刀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十字螺丝刀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尖嘴钳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手锤</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三角锉刀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剪刀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玻璃瓶盖开启器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玻璃管切割器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砂纸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称量纸1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称量纸2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清洗剂</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去污粉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抹布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不干胶标签纸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不干胶标签纸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沸石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千克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激光笔</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酒精灯灯芯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洗手液</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火柴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防护面罩</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防毒口罩</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手套1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双</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手套2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双</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简易急救箱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无线抗酸碱导电率传感器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无线玻璃PH传感器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无线气体压力传感器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无线光学溶解氧传感器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textAlignment w:val="center"/>
              <w:rPr>
                <w:rFonts w:ascii="宋体" w:hAnsi="宋体" w:cs="宋体"/>
                <w:szCs w:val="21"/>
                <w:highlight w:val="none"/>
              </w:rPr>
            </w:pPr>
            <w:r>
              <w:rPr>
                <w:rFonts w:hint="eastAsia" w:ascii="宋体" w:hAnsi="宋体" w:cs="宋体"/>
                <w:kern w:val="0"/>
                <w:szCs w:val="21"/>
                <w:highlight w:val="none"/>
                <w:lang w:bidi="ar"/>
              </w:rPr>
              <w:t>无线二氧化碳传感器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spacing w:line="400" w:lineRule="exact"/>
              <w:jc w:val="center"/>
              <w:rPr>
                <w:rFonts w:ascii="宋体" w:hAnsi="宋体" w:cs="宋体"/>
                <w:szCs w:val="21"/>
                <w:highlight w:val="none"/>
              </w:rPr>
            </w:pPr>
            <w:r>
              <w:rPr>
                <w:rFonts w:hint="eastAsia" w:ascii="宋体" w:hAnsi="宋体" w:cs="宋体"/>
                <w:bCs/>
                <w:kern w:val="0"/>
                <w:szCs w:val="21"/>
                <w:highlight w:val="none"/>
              </w:rPr>
              <w:t>有机化合物</w:t>
            </w:r>
            <w:r>
              <w:rPr>
                <w:rFonts w:hint="eastAsia" w:ascii="宋体" w:hAnsi="宋体" w:cs="宋体"/>
                <w:bCs/>
                <w:szCs w:val="21"/>
                <w:highlight w:val="none"/>
              </w:rPr>
              <w:t>实验箱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tabs>
                <w:tab w:val="left" w:pos="420"/>
              </w:tabs>
              <w:ind w:left="425"/>
              <w:rPr>
                <w:rFonts w:ascii="宋体" w:hAnsi="宋体" w:cs="宋体"/>
                <w:szCs w:val="21"/>
                <w:highlight w:val="none"/>
              </w:rPr>
            </w:pPr>
          </w:p>
        </w:tc>
        <w:tc>
          <w:tcPr>
            <w:tcW w:w="3973" w:type="pct"/>
            <w:gridSpan w:val="4"/>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r>
              <w:rPr>
                <w:rFonts w:hint="eastAsia" w:ascii="宋体" w:hAnsi="宋体" w:cs="宋体"/>
                <w:szCs w:val="21"/>
                <w:highlight w:val="none"/>
              </w:rPr>
              <w:t>二、生物部分</w:t>
            </w:r>
          </w:p>
        </w:tc>
        <w:tc>
          <w:tcPr>
            <w:tcW w:w="561" w:type="pct"/>
            <w:vMerge w:val="continue"/>
            <w:tcBorders>
              <w:left w:val="nil"/>
              <w:right w:val="single" w:color="000000" w:sz="8" w:space="0"/>
            </w:tcBorders>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光照培养箱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二氧化碳检测仪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打孔器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药品推车</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辆</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高压灭菌锅</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塑料洗瓶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电磁炉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数码显微镜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电泳仪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恒温震荡器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水平电泳槽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垂直电泳槽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凝胶色谱柱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移液器架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DNA电泳图谱观察仪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精油提取器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PCR仪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DNA快速杂交仪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纯水机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三角刮刀(涂布器)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生物实验废液处理装置</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始祖鸟模型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细胞膜模型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细胞膜组件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染色体组件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DNA双螺旋结构模型组件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细胞器结构模型</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玉米标本1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玉米标本2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玉米标本3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蚕豆叶下表皮装片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植物细胞有丝分裂</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胞间连丝切片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黑藻叶装片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酵母菌装片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水绵装片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大肠杆菌涂片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动物细胞有丝分裂切片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草履虫装片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蝗虫精巢减数分裂切片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蛙血涂片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表皮细胞装片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骨骼肌纵横切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平滑肌分离装片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心肌切片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运动神经元装片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胰腺切片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正常人染色体装片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DNA和RAN在细胞中的分布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线粒体切片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分子与细胞</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遗传与进化</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稳态与环境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生物技术实践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生物科学与社会</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现代生物科技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量筒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容量瓶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容量瓶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容量瓶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容量瓶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容量瓶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移液管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移液管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移液管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移液管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毛细玻璃管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锥形瓶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锥形瓶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锥形瓶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锥形瓶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蒸馏烧瓶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酒精灯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干燥器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蒸馏水瓶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冷凝器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漏斗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漏斗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胶头滴管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比色管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广口瓶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细口瓶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细口瓶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细口瓶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滴瓶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滴瓶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滴瓶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90"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滴瓶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石棉网</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医用纱布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脱脂棉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药匙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火柴</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洗耳球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培养皿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培养皿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研钵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PH计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标签纸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标签纸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试管篮</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试管篮</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尖头镊子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单面刀片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双面刀片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碘</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氯化钠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氯化钙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三氯化铁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碘化钾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碳酸钠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碳酸氢钠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二氯苯氧乙酸（2,4-D）</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吲哚乙酸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氢氧化钙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氢氧化铝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氯化镉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碳酸钙</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二氧化硅</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无水乙酸钠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柠檬酸钠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琼脂</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葡萄糖</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蔗糖</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可溶性淀粉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无水乙醇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95%工业酒精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对氨基苯磺酸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N-1-萘基乙二胺盐酸盐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海藻酸钠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二苯胺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果胶酶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α-淀粉酶</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醋酸菌</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酵母菌</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品红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pH广范围试纸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本</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亚甲基蓝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定性滤纸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胭脂红(洋红)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龙胆紫</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曙红B(伊红B)</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美蓝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酚红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苏丹Ⅲ</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甲基绿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吡罗红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健那绿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考马斯亮蓝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溴麝香草酚蓝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载玻片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盖玻片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吸水纸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玻璃纸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玻璃纸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玻璃纸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张</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水瓢</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泡菜坛</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试管刷</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烧杯刷</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洗洁精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接种棒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PH试纸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玻璃鱼缸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硝酸铵(NH</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NO</w:t>
            </w:r>
            <w:r>
              <w:rPr>
                <w:rFonts w:hint="eastAsia" w:ascii="宋体" w:hAnsi="宋体" w:cs="宋体"/>
                <w:kern w:val="0"/>
                <w:szCs w:val="21"/>
                <w:highlight w:val="none"/>
                <w:vertAlign w:val="subscript"/>
                <w:lang w:bidi="ar"/>
              </w:rPr>
              <w:t>3</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硝酸钾(KNO</w:t>
            </w:r>
            <w:r>
              <w:rPr>
                <w:rFonts w:hint="eastAsia" w:ascii="宋体" w:hAnsi="宋体" w:cs="宋体"/>
                <w:kern w:val="0"/>
                <w:szCs w:val="21"/>
                <w:highlight w:val="none"/>
                <w:vertAlign w:val="subscript"/>
                <w:lang w:bidi="ar"/>
              </w:rPr>
              <w:t>3</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氯化钙(CaCl</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·2H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硫酸镁(MgSO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磷酸二氢钾(KH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PO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硼酸(H</w:t>
            </w:r>
            <w:r>
              <w:rPr>
                <w:rFonts w:hint="eastAsia" w:ascii="宋体" w:hAnsi="宋体" w:cs="宋体"/>
                <w:kern w:val="0"/>
                <w:szCs w:val="21"/>
                <w:highlight w:val="none"/>
                <w:vertAlign w:val="subscript"/>
                <w:lang w:bidi="ar"/>
              </w:rPr>
              <w:t>3</w:t>
            </w:r>
            <w:r>
              <w:rPr>
                <w:rFonts w:hint="eastAsia" w:ascii="宋体" w:hAnsi="宋体" w:cs="宋体"/>
                <w:kern w:val="0"/>
                <w:szCs w:val="21"/>
                <w:highlight w:val="none"/>
                <w:lang w:bidi="ar"/>
              </w:rPr>
              <w:t>BO</w:t>
            </w:r>
            <w:r>
              <w:rPr>
                <w:rFonts w:hint="eastAsia" w:ascii="宋体" w:hAnsi="宋体" w:cs="宋体"/>
                <w:kern w:val="0"/>
                <w:szCs w:val="21"/>
                <w:highlight w:val="none"/>
                <w:vertAlign w:val="subscript"/>
                <w:lang w:bidi="ar"/>
              </w:rPr>
              <w:t>3</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硫酸锰(MnSO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·4H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硫酸锌(ZnSO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硫酸铜(CuSO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·5H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氯化钴(CoCl</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·6H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乙二胺四乙酸二钠(Na</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-EDTA)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硫酸铁(FeSO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肌醇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烟酸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吡哆辛盐酸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盐酸硫胺(盐酸硫胺素)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甘氨酸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6-苄基腺嘌呤(6-BA)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萘乙酸(NAA)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赤霉酸(GA3)</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吲哚丁酸(IBA)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吲哚乙酸(IAA)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牛肉膏</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r>
              <w:rPr>
                <w:rFonts w:hint="eastAsia" w:ascii="宋体" w:hAnsi="宋体" w:cs="宋体"/>
                <w:szCs w:val="21"/>
                <w:highlight w:val="none"/>
              </w:rPr>
              <w:t>蛋白胨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磷酸二氢钾(KH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PO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磷酸氢二钠(Na</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HPO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硫酸镁(MgSO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脲</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纤维素粉</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硝酸钠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磷酸氢二钠(Na</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HPO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磷酸二氢钾(KH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PO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硫酸镁(MgSO</w:t>
            </w:r>
            <w:r>
              <w:rPr>
                <w:rFonts w:hint="eastAsia" w:ascii="宋体" w:hAnsi="宋体" w:cs="宋体"/>
                <w:kern w:val="0"/>
                <w:szCs w:val="21"/>
                <w:highlight w:val="none"/>
                <w:vertAlign w:val="subscript"/>
                <w:lang w:bidi="ar"/>
              </w:rPr>
              <w:t>4</w:t>
            </w:r>
            <w:r>
              <w:rPr>
                <w:rFonts w:hint="eastAsia" w:ascii="宋体" w:hAnsi="宋体" w:cs="宋体"/>
                <w:kern w:val="0"/>
                <w:szCs w:val="21"/>
                <w:highlight w:val="none"/>
                <w:lang w:bidi="ar"/>
              </w:rPr>
              <w:t>·7H</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O)</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氯化钾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酵母浸膏</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水解酪素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羧甲基纤维素钠(CMC-Na)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丙烯酰胺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N，N-甲叉双丙烯酰胺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十二烷基磺酸钠(SDS)</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过硫酸铵</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三羟甲基氨基甲烷(Tris)</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克</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四甲基乙二胺(TEMED)</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毫升</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植物组织培养基试剂盒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牛肉膏蛋白胨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分离及鉴定土壤中能分解尿素的细菌</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纤维素分解菌培养及鉴别</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血红蛋白提取及分离</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PCR扩增实验</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琼脂糖凝胶电泳实验试剂盒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转基因植物DNA杂交鉴定试剂盒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十字螺丝刀</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木工锤</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把</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工作服</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洗手液</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消毒湿巾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包</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围棋棋子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毛巾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护目镜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防毒面罩</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一次性PVC手套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洗眼器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医用棉签</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盒</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简易急救箱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spacing w:line="400" w:lineRule="exact"/>
              <w:jc w:val="center"/>
              <w:rPr>
                <w:rFonts w:ascii="宋体" w:hAnsi="宋体" w:cs="宋体"/>
                <w:szCs w:val="21"/>
                <w:highlight w:val="none"/>
              </w:rPr>
            </w:pPr>
            <w:r>
              <w:rPr>
                <w:rFonts w:hint="eastAsia" w:ascii="宋体" w:hAnsi="宋体" w:cs="宋体"/>
                <w:bCs/>
                <w:szCs w:val="21"/>
                <w:highlight w:val="none"/>
              </w:rPr>
              <w:t>生物技术与工程实验箱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tabs>
                <w:tab w:val="left" w:pos="420"/>
              </w:tabs>
              <w:ind w:left="425"/>
              <w:rPr>
                <w:rFonts w:ascii="宋体" w:hAnsi="宋体" w:cs="宋体"/>
                <w:szCs w:val="21"/>
                <w:highlight w:val="none"/>
              </w:rPr>
            </w:pPr>
          </w:p>
        </w:tc>
        <w:tc>
          <w:tcPr>
            <w:tcW w:w="3973" w:type="pct"/>
            <w:gridSpan w:val="4"/>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r>
              <w:rPr>
                <w:rFonts w:hint="eastAsia" w:ascii="宋体" w:hAnsi="宋体" w:cs="宋体"/>
                <w:szCs w:val="21"/>
                <w:highlight w:val="none"/>
              </w:rPr>
              <w:t>三、物理部分</w:t>
            </w:r>
          </w:p>
        </w:tc>
        <w:tc>
          <w:tcPr>
            <w:tcW w:w="561" w:type="pct"/>
            <w:vMerge w:val="continue"/>
            <w:tcBorders>
              <w:left w:val="nil"/>
              <w:right w:val="single" w:color="000000" w:sz="8" w:space="0"/>
            </w:tcBorders>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纸带打点式轨道小车</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打点式轨道小车</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300"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斜面小车</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气垫导轨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小型气源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频闪光源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运动频闪观测仪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金属钩码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金属槽码</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电子天平1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电子天平2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托盘天平1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29</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托盘天平2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学生数字测力计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牛顿第二定律实验仪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牛顿第二定律演示器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微小形变演示器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数字计时器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平抛运动实验器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平抛运动演示器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二维空间—时间描迹仪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向心力实验仪</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向心力演示器1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向心力演示器2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学生数字测力计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球形导体</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29</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枕形导体</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29</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副</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范式起电机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感应起电机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玻棒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胶棒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箔片验电器1</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箔片验电器2</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指针验电器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验电器连接杆</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移电球（验电球）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验电羽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验电幡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尖形布电器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正负电荷检验器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静电实验箱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平行板电容器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常用电容示教板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电容器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金属网罩</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电场线演示器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滑动变阻器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常用电阻器示教板</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电阻定律演示器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演示微电流表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气压式可调内阻电池</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菱形小磁针</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翼形磁针</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条形强磁体</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蹄形强磁体</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强磁针</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反冲运动演示器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碰撞实验器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动量传递演示器(碰撞球)</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弹簧振子振动图像描绘器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单摆组</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组</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单摆运动规律演示器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单摆振动图像演示器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冲击摆实验器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受迫振动和共振演示器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发波水槽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凹面镜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凸面镜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望远镜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三棱镜</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光的偏振观察器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透镜及其应用实验器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演示原副线圈</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单匝线圈电机原理演示器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手摇交直流发电机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电磁驱动演示器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可拆变压器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变压器原理说明器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继电器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门电路和传感器应用实验箱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热敏电阻</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光敏电阻</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油膜实验器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油酸</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液体表面张力实验器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气体定律实验器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小灯泡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发光二极管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铜丝</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米</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强磁体</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对</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钕磁铁组</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组</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焊锡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卷</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器材收纳盒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充磁器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抽气盘</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抽气筒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打气筒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两用气筒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注射器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透明盛液筒</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透明水槽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无水乙醇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煤油</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瓶</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真空计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力传感器A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力传感器B</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力传感器C</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力传感器D</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力倾角传感器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一体式位移传感器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小量程位移传感器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光电门传感器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温度传感器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快速温度传感器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高温传感器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相对压强传感器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双量程光照度传感器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电流传感器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电压传感器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多量程电流传感器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频率传感器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静电计</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三维磁感应强度传感器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电子罗盘传感器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G-M传感器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三合一温度传感器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声波/声级传感器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无线收发器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传感器无线发射模块</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传感器配套装置</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多用力学轨道系统</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向心力实验器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机械能守恒实验器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力的分解合成实验器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斜面上力的分解实验器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智能力盘</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作用力与反作用力实验器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平抛运动实验器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摩擦力实验器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二力平衡实验器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流体压强实验器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热辐射的吸收实验器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玻璃导电实验器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温差电流实验器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地磁场发电机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电阻定律实验器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远红外加热器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音频信号发生器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多功能学生电源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智能电源</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逻辑电路实验器A</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逻辑电路实验器B</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低频信号发生器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模块机器人</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自动控制开关</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自动控制执行器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真空铃实验器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Mini牛顿管实验器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二力平衡实验器</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魔板（电磁定位系统）</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法拉第电磁感应定律实验器Ⅰ</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法拉第电磁感应定律实验器Ⅱ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光学实验系统</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方块电路</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挡光片</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单摆测量实验水槽</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个</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right w:val="single" w:color="000000" w:sz="8" w:space="0"/>
            </w:tcBorders>
            <w:vAlign w:val="center"/>
          </w:tcPr>
          <w:p>
            <w:pPr>
              <w:jc w:val="center"/>
              <w:rPr>
                <w:rFonts w:ascii="宋体" w:hAnsi="宋体" w:cs="宋体"/>
                <w:szCs w:val="21"/>
                <w:highlight w:val="none"/>
              </w:rPr>
            </w:pPr>
          </w:p>
        </w:tc>
      </w:tr>
      <w:tr>
        <w:tblPrEx>
          <w:tblCellMar>
            <w:top w:w="0" w:type="dxa"/>
            <w:left w:w="108" w:type="dxa"/>
            <w:bottom w:w="0" w:type="dxa"/>
            <w:right w:w="108" w:type="dxa"/>
          </w:tblCellMar>
        </w:tblPrEx>
        <w:trPr>
          <w:trHeight w:val="285" w:hRule="atLeast"/>
          <w:jc w:val="center"/>
        </w:trPr>
        <w:tc>
          <w:tcPr>
            <w:tcW w:w="465" w:type="pct"/>
            <w:tcBorders>
              <w:top w:val="nil"/>
              <w:left w:val="single" w:color="000000" w:sz="8" w:space="0"/>
              <w:bottom w:val="single" w:color="000000" w:sz="8" w:space="0"/>
              <w:right w:val="single" w:color="000000" w:sz="8" w:space="0"/>
            </w:tcBorders>
            <w:vAlign w:val="center"/>
          </w:tcPr>
          <w:p>
            <w:pPr>
              <w:numPr>
                <w:ilvl w:val="0"/>
                <w:numId w:val="2"/>
              </w:numPr>
              <w:jc w:val="center"/>
              <w:rPr>
                <w:rFonts w:ascii="宋体" w:hAnsi="宋体" w:cs="宋体"/>
                <w:szCs w:val="21"/>
                <w:highlight w:val="none"/>
              </w:rPr>
            </w:pPr>
          </w:p>
        </w:tc>
        <w:tc>
          <w:tcPr>
            <w:tcW w:w="2323" w:type="pct"/>
            <w:tcBorders>
              <w:top w:val="nil"/>
              <w:left w:val="nil"/>
              <w:bottom w:val="single" w:color="000000" w:sz="8" w:space="0"/>
              <w:right w:val="single" w:color="000000" w:sz="8" w:space="0"/>
            </w:tcBorders>
            <w:vAlign w:val="center"/>
          </w:tcPr>
          <w:p>
            <w:pPr>
              <w:spacing w:line="400" w:lineRule="exact"/>
              <w:jc w:val="center"/>
              <w:rPr>
                <w:rFonts w:ascii="宋体" w:hAnsi="宋体" w:cs="宋体"/>
                <w:szCs w:val="21"/>
                <w:highlight w:val="none"/>
              </w:rPr>
            </w:pPr>
            <w:r>
              <w:rPr>
                <w:rFonts w:hint="eastAsia" w:ascii="宋体" w:hAnsi="宋体" w:cs="宋体"/>
                <w:bCs/>
                <w:szCs w:val="21"/>
                <w:highlight w:val="none"/>
              </w:rPr>
              <w:t>固体、液体和气体实验箱</w:t>
            </w:r>
          </w:p>
        </w:tc>
        <w:tc>
          <w:tcPr>
            <w:tcW w:w="543"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544" w:type="pct"/>
            <w:tcBorders>
              <w:top w:val="nil"/>
              <w:left w:val="nil"/>
              <w:bottom w:val="single" w:color="000000" w:sz="8" w:space="0"/>
              <w:right w:val="single" w:color="000000" w:sz="8"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套</w:t>
            </w:r>
          </w:p>
        </w:tc>
        <w:tc>
          <w:tcPr>
            <w:tcW w:w="561" w:type="pct"/>
            <w:tcBorders>
              <w:top w:val="nil"/>
              <w:left w:val="nil"/>
              <w:bottom w:val="single" w:color="000000" w:sz="8" w:space="0"/>
              <w:right w:val="single" w:color="000000" w:sz="8" w:space="0"/>
            </w:tcBorders>
            <w:vAlign w:val="center"/>
          </w:tcPr>
          <w:p>
            <w:pPr>
              <w:jc w:val="center"/>
              <w:rPr>
                <w:rFonts w:ascii="宋体" w:hAnsi="宋体" w:cs="宋体"/>
                <w:szCs w:val="21"/>
                <w:highlight w:val="none"/>
              </w:rPr>
            </w:pPr>
          </w:p>
        </w:tc>
        <w:tc>
          <w:tcPr>
            <w:tcW w:w="561" w:type="pct"/>
            <w:vMerge w:val="continue"/>
            <w:tcBorders>
              <w:left w:val="nil"/>
              <w:bottom w:val="single" w:color="000000" w:sz="8" w:space="0"/>
              <w:right w:val="single" w:color="000000" w:sz="8" w:space="0"/>
            </w:tcBorders>
            <w:vAlign w:val="center"/>
          </w:tcPr>
          <w:p>
            <w:pPr>
              <w:jc w:val="center"/>
              <w:rPr>
                <w:rFonts w:ascii="宋体" w:hAnsi="宋体" w:cs="宋体"/>
                <w:szCs w:val="21"/>
                <w:highlight w:val="none"/>
              </w:rPr>
            </w:pPr>
          </w:p>
        </w:tc>
      </w:tr>
    </w:tbl>
    <w:p>
      <w:pPr>
        <w:rPr>
          <w:color w:val="FF0000"/>
          <w:highlight w:val="none"/>
        </w:rPr>
      </w:pPr>
      <w:r>
        <w:rPr>
          <w:rFonts w:hint="eastAsia"/>
          <w:color w:val="FF0000"/>
          <w:highlight w:val="none"/>
        </w:rPr>
        <w:t>备注：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1、</w:t>
      </w:r>
      <w:r>
        <w:rPr>
          <w:rFonts w:hint="eastAsia"/>
          <w:color w:val="FF0000"/>
          <w:highlight w:val="none"/>
        </w:rPr>
        <w:t>“备注”栏注明有“接受进口”或“允许进口”的产品允许投标人选用进口产品参与投标，但不排斥国内产品投标；未注明“接受进口”或“允许进口”的产品均不接受进口产品投标。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color w:val="FF0000"/>
          <w:highlight w:val="none"/>
        </w:rPr>
      </w:pPr>
      <w:r>
        <w:rPr>
          <w:rFonts w:hint="eastAsia"/>
          <w:color w:val="FF0000"/>
          <w:highlight w:val="none"/>
          <w:lang w:val="en-US" w:eastAsia="zh-CN"/>
        </w:rPr>
        <w:t>2、</w:t>
      </w:r>
      <w:r>
        <w:rPr>
          <w:rFonts w:hint="eastAsia"/>
          <w:color w:val="FF0000"/>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3、</w:t>
      </w:r>
      <w:r>
        <w:rPr>
          <w:rFonts w:hint="eastAsia"/>
          <w:color w:val="FF0000"/>
          <w:highlight w:val="none"/>
        </w:rPr>
        <w:t>如注明有单价控制金额的产品，投标人对该产品的报价不得超过控制金额，否则将作投标无效处理。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FF0000"/>
          <w:highlight w:val="none"/>
        </w:rPr>
      </w:pPr>
      <w:r>
        <w:rPr>
          <w:rFonts w:hint="eastAsia"/>
          <w:color w:val="FF0000"/>
          <w:highlight w:val="none"/>
          <w:lang w:val="en-US" w:eastAsia="zh-CN"/>
        </w:rPr>
        <w:t>4、</w:t>
      </w:r>
      <w:r>
        <w:rPr>
          <w:rFonts w:hint="eastAsia"/>
          <w:color w:val="FF0000"/>
          <w:highlight w:val="none"/>
        </w:rPr>
        <w:t>根据《政府采购货物和服务招标投标管理办法》（财政部令第87号）第三十一条规定，单一产品项目或非单一产品项目中的核心产品均应明确品牌，投标人未填报品牌的将作投标无效处理。</w:t>
      </w:r>
    </w:p>
    <w:p>
      <w:pPr>
        <w:ind w:firstLine="420" w:firstLineChars="200"/>
        <w:rPr>
          <w:rFonts w:hint="eastAsia"/>
          <w:color w:val="FF0000"/>
          <w:highlight w:val="none"/>
          <w:lang w:val="en-US" w:eastAsia="zh-CN"/>
        </w:rPr>
      </w:pPr>
      <w:r>
        <w:rPr>
          <w:rFonts w:hint="eastAsia"/>
          <w:color w:val="FF0000"/>
          <w:highlight w:val="none"/>
        </w:rPr>
        <w:t>5、关于“货物需求明细”表“备注”栏中的“投标时提供医疗器械注册证”内容的相关说明：如供应商提供的相关货物（标的），属于按整套（成套）设备进行申请医疗器械注册证情形的，则投标人针对前述相关货物（标的）在投标时可提供整套（成套）设备的医疗器械注册证。</w:t>
      </w:r>
    </w:p>
    <w:p>
      <w:pPr>
        <w:ind w:firstLine="420" w:firstLineChars="200"/>
        <w:rPr>
          <w:color w:val="FF0000"/>
          <w:highlight w:val="none"/>
        </w:rPr>
      </w:pPr>
    </w:p>
    <w:p>
      <w:pPr>
        <w:ind w:firstLine="420" w:firstLineChars="200"/>
        <w:rPr>
          <w:color w:val="FF0000"/>
          <w:highlight w:val="none"/>
        </w:rPr>
      </w:pPr>
    </w:p>
    <w:p>
      <w:pPr>
        <w:pStyle w:val="3"/>
        <w:jc w:val="center"/>
        <w:rPr>
          <w:highlight w:val="none"/>
        </w:rPr>
      </w:pPr>
      <w:bookmarkStart w:id="14" w:name="_Toc128884461"/>
      <w:r>
        <w:rPr>
          <w:rFonts w:hint="eastAsia"/>
          <w:highlight w:val="none"/>
        </w:rPr>
        <w:t>三、实质性条款</w:t>
      </w:r>
    </w:p>
    <w:tbl>
      <w:tblPr>
        <w:tblStyle w:val="1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pPr>
              <w:rPr>
                <w:highlight w:val="none"/>
              </w:rPr>
            </w:pPr>
            <w:r>
              <w:rPr>
                <w:rFonts w:hint="eastAsia"/>
                <w:highlight w:val="none"/>
              </w:rPr>
              <w:t>序号</w:t>
            </w:r>
          </w:p>
        </w:tc>
        <w:tc>
          <w:tcPr>
            <w:tcW w:w="7483" w:type="dxa"/>
            <w:vAlign w:val="center"/>
          </w:tcPr>
          <w:p>
            <w:pPr>
              <w:jc w:val="center"/>
              <w:rPr>
                <w:highlight w:val="none"/>
              </w:rPr>
            </w:pPr>
            <w:r>
              <w:rPr>
                <w:rFonts w:hint="eastAsia"/>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rPr>
                <w:highlight w:val="none"/>
              </w:rPr>
            </w:pPr>
            <w:r>
              <w:rPr>
                <w:rFonts w:hint="eastAsia"/>
                <w:highlight w:val="none"/>
              </w:rPr>
              <w:t>1</w:t>
            </w:r>
          </w:p>
        </w:tc>
        <w:tc>
          <w:tcPr>
            <w:tcW w:w="7483" w:type="dxa"/>
          </w:tcPr>
          <w:p>
            <w:pPr>
              <w:jc w:val="center"/>
              <w:rPr>
                <w:rFonts w:hint="eastAsia" w:eastAsiaTheme="minorEastAsia"/>
                <w:highlight w:val="none"/>
                <w:lang w:eastAsia="zh-CN"/>
              </w:rPr>
            </w:pPr>
            <w:r>
              <w:rPr>
                <w:rFonts w:hint="eastAsia"/>
                <w:highlight w:val="none"/>
              </w:rPr>
              <w:t>本项目招标文件中所有带★号条款</w:t>
            </w:r>
            <w:r>
              <w:rPr>
                <w:rFonts w:hint="eastAsia"/>
                <w:highlight w:val="none"/>
                <w:lang w:val="en-US" w:eastAsia="zh-CN"/>
              </w:rPr>
              <w:t>内容</w:t>
            </w:r>
          </w:p>
        </w:tc>
      </w:tr>
      <w:bookmarkEnd w:id="14"/>
    </w:tbl>
    <w:p>
      <w:pPr>
        <w:rPr>
          <w:rFonts w:hint="default"/>
          <w:highlight w:val="none"/>
          <w:lang w:val="en-US"/>
        </w:rPr>
      </w:pPr>
      <w:r>
        <w:rPr>
          <w:rFonts w:hint="eastAsia"/>
          <w:b/>
          <w:color w:val="FF0000"/>
          <w:highlight w:val="none"/>
        </w:rPr>
        <w:t>注</w:t>
      </w:r>
      <w:r>
        <w:rPr>
          <w:rFonts w:hint="eastAsia"/>
          <w:highlight w:val="none"/>
        </w:rPr>
        <w:t>：</w:t>
      </w:r>
      <w:r>
        <w:rPr>
          <w:rFonts w:hint="eastAsia"/>
          <w:b/>
          <w:color w:val="FF0000"/>
          <w:highlight w:val="none"/>
        </w:rPr>
        <w:t>上表所列内容为不可负偏离条款，负偏离将视为未实质性满足招标文件要求</w:t>
      </w:r>
      <w:r>
        <w:rPr>
          <w:rFonts w:hint="eastAsia"/>
          <w:b/>
          <w:color w:val="FF0000"/>
          <w:highlight w:val="none"/>
          <w:lang w:eastAsia="zh-CN"/>
        </w:rPr>
        <w:t>，</w:t>
      </w:r>
      <w:r>
        <w:rPr>
          <w:rFonts w:hint="eastAsia"/>
          <w:b/>
          <w:color w:val="FF0000"/>
          <w:highlight w:val="none"/>
        </w:rPr>
        <w:t>作投标无效处理。投标人是否满足</w:t>
      </w:r>
      <w:r>
        <w:rPr>
          <w:rFonts w:hint="eastAsia"/>
          <w:b/>
          <w:color w:val="FF0000"/>
          <w:highlight w:val="none"/>
          <w:lang w:val="en-US" w:eastAsia="zh-CN"/>
        </w:rPr>
        <w:t>以上实质性</w:t>
      </w:r>
      <w:r>
        <w:rPr>
          <w:rFonts w:hint="eastAsia"/>
          <w:b/>
          <w:color w:val="FF0000"/>
          <w:highlight w:val="none"/>
        </w:rPr>
        <w:t>条款要求，</w:t>
      </w:r>
      <w:r>
        <w:rPr>
          <w:rFonts w:hint="eastAsia"/>
          <w:b/>
          <w:color w:val="FF0000"/>
          <w:highlight w:val="none"/>
          <w:lang w:val="en-US" w:eastAsia="zh-CN"/>
        </w:rPr>
        <w:t>以</w:t>
      </w:r>
      <w:r>
        <w:rPr>
          <w:rFonts w:hint="eastAsia"/>
          <w:b/>
          <w:color w:val="FF0000"/>
          <w:highlight w:val="none"/>
          <w:lang w:eastAsia="zh-CN"/>
        </w:rPr>
        <w:t>《</w:t>
      </w:r>
      <w:r>
        <w:rPr>
          <w:rFonts w:hint="eastAsia"/>
          <w:b/>
          <w:color w:val="FF0000"/>
          <w:highlight w:val="none"/>
        </w:rPr>
        <w:t>实质性条款响应情况表</w:t>
      </w:r>
      <w:r>
        <w:rPr>
          <w:rFonts w:hint="eastAsia"/>
          <w:b/>
          <w:color w:val="FF0000"/>
          <w:highlight w:val="none"/>
          <w:lang w:eastAsia="zh-CN"/>
        </w:rPr>
        <w:t>》</w:t>
      </w:r>
      <w:r>
        <w:rPr>
          <w:rFonts w:hint="eastAsia"/>
          <w:b/>
          <w:color w:val="FF0000"/>
          <w:highlight w:val="none"/>
          <w:lang w:val="en-US" w:eastAsia="zh-CN"/>
        </w:rPr>
        <w:t>响应为准。</w:t>
      </w:r>
      <w:r>
        <w:rPr>
          <w:rFonts w:hint="eastAsia"/>
          <w:b/>
          <w:color w:val="FF0000"/>
          <w:highlight w:val="none"/>
        </w:rPr>
        <w:t>如投标人中标后被发现不能满足</w:t>
      </w:r>
      <w:r>
        <w:rPr>
          <w:rFonts w:hint="eastAsia"/>
          <w:b/>
          <w:color w:val="FF0000"/>
          <w:highlight w:val="none"/>
          <w:lang w:val="en-US" w:eastAsia="zh-CN"/>
        </w:rPr>
        <w:t>以上实质性</w:t>
      </w:r>
      <w:r>
        <w:rPr>
          <w:rFonts w:hint="eastAsia"/>
          <w:b/>
          <w:color w:val="FF0000"/>
          <w:highlight w:val="none"/>
        </w:rPr>
        <w:t>条款要求的，采购单位有权拒绝签订合同，一切后果由投标人承担。</w:t>
      </w:r>
    </w:p>
    <w:p>
      <w:pPr>
        <w:pStyle w:val="9"/>
        <w:rPr>
          <w:highlight w:val="none"/>
        </w:rPr>
      </w:pPr>
    </w:p>
    <w:p>
      <w:pPr>
        <w:ind w:firstLine="420" w:firstLineChars="200"/>
        <w:rPr>
          <w:highlight w:val="none"/>
        </w:rPr>
      </w:pPr>
    </w:p>
    <w:p>
      <w:pPr>
        <w:rPr>
          <w:b/>
          <w:color w:val="FF0000"/>
          <w:highlight w:val="none"/>
        </w:rPr>
      </w:pPr>
      <w:bookmarkStart w:id="97" w:name="_GoBack"/>
      <w:bookmarkEnd w:id="97"/>
    </w:p>
    <w:p>
      <w:pPr>
        <w:rPr>
          <w:b/>
          <w:color w:val="FF0000"/>
          <w:highlight w:val="none"/>
        </w:rPr>
      </w:pPr>
    </w:p>
    <w:p>
      <w:pPr>
        <w:rPr>
          <w:b/>
          <w:color w:val="FF0000"/>
          <w:highlight w:val="none"/>
        </w:rPr>
      </w:pPr>
    </w:p>
    <w:p>
      <w:pPr>
        <w:rPr>
          <w:b/>
          <w:color w:val="FF0000"/>
          <w:highlight w:val="none"/>
        </w:rPr>
      </w:pPr>
    </w:p>
    <w:p>
      <w:pPr>
        <w:rPr>
          <w:b/>
          <w:color w:val="FF0000"/>
          <w:highlight w:val="none"/>
        </w:rPr>
      </w:pPr>
    </w:p>
    <w:p>
      <w:pPr>
        <w:keepNext/>
        <w:keepLines/>
        <w:tabs>
          <w:tab w:val="left" w:pos="1680"/>
        </w:tabs>
        <w:spacing w:before="260" w:afterLines="25"/>
        <w:jc w:val="center"/>
        <w:outlineLvl w:val="2"/>
        <w:rPr>
          <w:rFonts w:hint="eastAsia" w:ascii="Arial" w:hAnsi="Arial" w:eastAsia="宋体" w:cs="Times New Roman"/>
          <w:b/>
          <w:bCs/>
          <w:color w:val="FF0000"/>
          <w:sz w:val="32"/>
          <w:szCs w:val="32"/>
          <w:highlight w:val="none"/>
          <w:lang w:eastAsia="zh-CN"/>
        </w:rPr>
      </w:pPr>
      <w:r>
        <w:rPr>
          <w:rFonts w:hint="eastAsia"/>
          <w:b/>
          <w:color w:val="FF0000"/>
          <w:sz w:val="32"/>
          <w:szCs w:val="32"/>
          <w:highlight w:val="none"/>
        </w:rPr>
        <w:t>★</w:t>
      </w:r>
      <w:r>
        <w:rPr>
          <w:rFonts w:hint="eastAsia"/>
          <w:b/>
          <w:color w:val="FF0000"/>
          <w:sz w:val="32"/>
          <w:szCs w:val="32"/>
          <w:highlight w:val="none"/>
          <w:lang w:val="en-US" w:eastAsia="zh-CN"/>
        </w:rPr>
        <w:t>四</w:t>
      </w:r>
      <w:r>
        <w:rPr>
          <w:rFonts w:hint="eastAsia" w:ascii="Arial" w:hAnsi="Arial" w:eastAsia="宋体" w:cs="Times New Roman"/>
          <w:b/>
          <w:bCs/>
          <w:color w:val="FF0000"/>
          <w:sz w:val="32"/>
          <w:szCs w:val="32"/>
          <w:highlight w:val="none"/>
        </w:rPr>
        <w:t>、商务和服务条款</w:t>
      </w:r>
      <w:r>
        <w:rPr>
          <w:rFonts w:hint="eastAsia" w:ascii="Arial" w:hAnsi="Arial" w:eastAsia="宋体" w:cs="Times New Roman"/>
          <w:b/>
          <w:bCs/>
          <w:color w:val="FF0000"/>
          <w:sz w:val="32"/>
          <w:szCs w:val="32"/>
          <w:highlight w:val="none"/>
          <w:lang w:val="en-US" w:eastAsia="zh-CN"/>
        </w:rPr>
        <w:t>要求</w:t>
      </w:r>
    </w:p>
    <w:p>
      <w:pPr>
        <w:keepNext/>
        <w:keepLines/>
        <w:tabs>
          <w:tab w:val="left" w:pos="1680"/>
        </w:tabs>
        <w:spacing w:before="260" w:afterLines="25"/>
        <w:jc w:val="both"/>
        <w:outlineLvl w:val="2"/>
        <w:rPr>
          <w:rFonts w:hint="eastAsia" w:ascii="Arial" w:hAnsi="Arial" w:cs="Times New Roman" w:eastAsiaTheme="minorEastAsia"/>
          <w:b/>
          <w:bCs/>
          <w:color w:val="FF0000"/>
          <w:sz w:val="32"/>
          <w:szCs w:val="32"/>
          <w:highlight w:val="none"/>
          <w:lang w:eastAsia="zh-CN"/>
        </w:rPr>
      </w:pPr>
      <w:r>
        <w:rPr>
          <w:rFonts w:hint="eastAsia"/>
          <w:b/>
          <w:color w:val="FF0000"/>
          <w:highlight w:val="none"/>
        </w:rPr>
        <w:t>本部分内容为项目正常开展的基本要求，均为★号条款要求</w:t>
      </w:r>
      <w:r>
        <w:rPr>
          <w:rFonts w:hint="eastAsia"/>
          <w:b/>
          <w:color w:val="FF0000"/>
          <w:highlight w:val="none"/>
          <w:lang w:eastAsia="zh-CN"/>
        </w:rPr>
        <w:t>。</w:t>
      </w:r>
    </w:p>
    <w:tbl>
      <w:tblPr>
        <w:tblStyle w:val="1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宋体"/>
                <w:b/>
                <w:szCs w:val="21"/>
                <w:highlight w:val="none"/>
              </w:rPr>
            </w:pPr>
            <w:r>
              <w:rPr>
                <w:rFonts w:hint="eastAsia" w:ascii="宋体" w:hAnsi="宋体" w:eastAsia="宋体" w:cs="宋体"/>
                <w:b/>
                <w:color w:val="FF0000"/>
                <w:szCs w:val="21"/>
                <w:highlight w:val="none"/>
              </w:rPr>
              <w:t>报价要求</w:t>
            </w:r>
          </w:p>
        </w:tc>
        <w:tc>
          <w:tcPr>
            <w:tcW w:w="7797" w:type="dxa"/>
            <w:tcBorders>
              <w:top w:val="single" w:color="auto" w:sz="4" w:space="0"/>
              <w:left w:val="single" w:color="auto" w:sz="4" w:space="0"/>
              <w:bottom w:val="single" w:color="auto" w:sz="4" w:space="0"/>
              <w:right w:val="single" w:color="auto" w:sz="4" w:space="0"/>
            </w:tcBorders>
          </w:tcPr>
          <w:p>
            <w:pPr>
              <w:snapToGrid w:val="0"/>
              <w:ind w:firstLine="420"/>
              <w:rPr>
                <w:rFonts w:ascii="宋体" w:hAnsi="宋体" w:eastAsia="宋体" w:cs="宋体"/>
                <w:color w:val="FF0000"/>
                <w:szCs w:val="21"/>
                <w:highlight w:val="none"/>
              </w:rPr>
            </w:pPr>
            <w:r>
              <w:rPr>
                <w:rFonts w:hint="eastAsia" w:ascii="宋体" w:hAnsi="宋体" w:eastAsia="宋体" w:cs="宋体"/>
                <w:color w:val="FF0000"/>
                <w:szCs w:val="21"/>
                <w:highlight w:val="none"/>
              </w:rPr>
              <w:t>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宋体"/>
                <w:b/>
                <w:szCs w:val="21"/>
                <w:highlight w:val="none"/>
              </w:rPr>
            </w:pPr>
            <w:r>
              <w:rPr>
                <w:rFonts w:hint="eastAsia" w:ascii="宋体" w:hAnsi="宋体" w:eastAsia="宋体" w:cs="宋体"/>
                <w:b/>
                <w:szCs w:val="21"/>
                <w:highlight w:val="none"/>
              </w:rPr>
              <w:t>交货地点</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宋体" w:hAnsi="宋体" w:eastAsia="宋体" w:cs="宋体"/>
                <w:color w:val="FF0000"/>
                <w:szCs w:val="21"/>
                <w:highlight w:val="none"/>
              </w:rPr>
            </w:pPr>
            <w:r>
              <w:rPr>
                <w:rFonts w:hint="eastAsia" w:ascii="宋体" w:hAnsi="宋体" w:eastAsia="宋体" w:cs="宋体"/>
                <w:color w:val="FF0000"/>
                <w:szCs w:val="21"/>
                <w:highlight w:val="none"/>
              </w:rPr>
              <w:t>深圳市福海中学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交货期或完工期</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宋体" w:hAnsi="宋体" w:eastAsia="宋体" w:cs="宋体"/>
                <w:color w:val="FF0000"/>
                <w:szCs w:val="21"/>
                <w:highlight w:val="none"/>
              </w:rPr>
            </w:pPr>
            <w:r>
              <w:rPr>
                <w:rFonts w:hint="eastAsia" w:ascii="宋体" w:hAnsi="宋体" w:eastAsia="宋体" w:cs="宋体"/>
                <w:color w:val="FF0000"/>
                <w:szCs w:val="21"/>
                <w:highlight w:val="none"/>
              </w:rPr>
              <w:t>本项目要求在进场施工日起 30 个日历日内完工，进场施工时间由采购人确定。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Arial" w:hAnsi="Arial" w:eastAsia="宋体" w:cs="Times New Roman"/>
                <w:b/>
                <w:szCs w:val="24"/>
                <w:highlight w:val="none"/>
              </w:rPr>
              <w:t>付款方式</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auto"/>
              <w:rPr>
                <w:rFonts w:ascii="新宋体" w:hAnsi="新宋体" w:eastAsia="新宋体" w:cs="Times New Roman"/>
                <w:color w:val="FF0000"/>
                <w:kern w:val="0"/>
                <w:szCs w:val="21"/>
                <w:highlight w:val="none"/>
              </w:rPr>
            </w:pPr>
            <w:r>
              <w:rPr>
                <w:rFonts w:hint="eastAsia" w:ascii="新宋体" w:hAnsi="新宋体" w:eastAsia="新宋体" w:cs="Times New Roman"/>
                <w:color w:val="FF0000"/>
                <w:kern w:val="0"/>
                <w:szCs w:val="21"/>
                <w:highlight w:val="none"/>
              </w:rPr>
              <w:t>本项目完成并经验收合格后，对于满足合同约定支付条件的，采购人应当自收到发票后15日内将资金支付到合同约定的中标供应商账户。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3" w:type="dxa"/>
            <w:tcBorders>
              <w:top w:val="single" w:color="auto" w:sz="4" w:space="0"/>
              <w:left w:val="single" w:color="auto" w:sz="4" w:space="0"/>
              <w:right w:val="single" w:color="auto" w:sz="4" w:space="0"/>
            </w:tcBorders>
            <w:vAlign w:val="center"/>
          </w:tcPr>
          <w:p>
            <w:pPr>
              <w:spacing w:afterLines="25" w:line="300" w:lineRule="auto"/>
              <w:jc w:val="center"/>
              <w:rPr>
                <w:rFonts w:ascii="宋体" w:hAnsi="宋体" w:eastAsia="宋体" w:cs="Times New Roman"/>
                <w:b/>
                <w:bCs/>
                <w:szCs w:val="21"/>
                <w:highlight w:val="none"/>
              </w:rPr>
            </w:pPr>
            <w:r>
              <w:rPr>
                <w:rFonts w:hint="eastAsia" w:ascii="宋体" w:hAnsi="宋体" w:eastAsia="宋体" w:cs="Times New Roman"/>
                <w:b/>
                <w:szCs w:val="21"/>
                <w:highlight w:val="none"/>
              </w:rPr>
              <w:t>验收方式</w:t>
            </w:r>
          </w:p>
        </w:tc>
        <w:tc>
          <w:tcPr>
            <w:tcW w:w="7797" w:type="dxa"/>
            <w:tcBorders>
              <w:top w:val="single" w:color="auto" w:sz="4" w:space="0"/>
              <w:left w:val="single" w:color="auto" w:sz="4" w:space="0"/>
              <w:right w:val="single" w:color="auto" w:sz="4" w:space="0"/>
            </w:tcBorders>
          </w:tcPr>
          <w:p>
            <w:pPr>
              <w:spacing w:afterLines="25" w:line="300" w:lineRule="auto"/>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由采购单位组织验收小组进行验收。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843" w:type="dxa"/>
            <w:tcBorders>
              <w:top w:val="single" w:color="auto" w:sz="4" w:space="0"/>
              <w:left w:val="single" w:color="auto" w:sz="4" w:space="0"/>
              <w:right w:val="single" w:color="auto" w:sz="4" w:space="0"/>
            </w:tcBorders>
            <w:vAlign w:val="center"/>
          </w:tcPr>
          <w:p>
            <w:pPr>
              <w:spacing w:afterLines="25" w:line="300" w:lineRule="auto"/>
              <w:jc w:val="center"/>
              <w:rPr>
                <w:rFonts w:ascii="宋体" w:hAnsi="宋体" w:eastAsia="宋体" w:cs="Times New Roman"/>
                <w:b/>
                <w:szCs w:val="21"/>
                <w:highlight w:val="none"/>
              </w:rPr>
            </w:pPr>
            <w:r>
              <w:rPr>
                <w:rFonts w:hint="eastAsia" w:ascii="宋体" w:hAnsi="宋体" w:eastAsia="宋体" w:cs="Times New Roman"/>
                <w:b/>
                <w:bCs/>
                <w:szCs w:val="21"/>
                <w:highlight w:val="none"/>
              </w:rPr>
              <w:t>包装及运输要求</w:t>
            </w:r>
          </w:p>
        </w:tc>
        <w:tc>
          <w:tcPr>
            <w:tcW w:w="7797" w:type="dxa"/>
            <w:tcBorders>
              <w:top w:val="single" w:color="auto" w:sz="4" w:space="0"/>
              <w:left w:val="single" w:color="auto" w:sz="4" w:space="0"/>
              <w:right w:val="single" w:color="auto" w:sz="4" w:space="0"/>
            </w:tcBorders>
          </w:tcPr>
          <w:p>
            <w:pPr>
              <w:spacing w:afterLines="25" w:line="300" w:lineRule="auto"/>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本次采购的设备和材料必须是全新的，包装方式按照原厂出厂原标准，中标人立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Cs/>
                <w:szCs w:val="21"/>
                <w:highlight w:val="none"/>
              </w:rPr>
            </w:pPr>
            <w:r>
              <w:rPr>
                <w:rFonts w:hint="eastAsia" w:ascii="宋体" w:hAnsi="宋体" w:eastAsia="宋体" w:cs="Times New Roman"/>
                <w:b/>
                <w:bCs/>
                <w:szCs w:val="21"/>
                <w:highlight w:val="none"/>
              </w:rPr>
              <w:t>售后服务要求</w:t>
            </w:r>
          </w:p>
        </w:tc>
        <w:tc>
          <w:tcPr>
            <w:tcW w:w="7797" w:type="dxa"/>
            <w:tcBorders>
              <w:top w:val="single" w:color="auto" w:sz="4" w:space="0"/>
              <w:left w:val="single" w:color="auto" w:sz="4" w:space="0"/>
              <w:bottom w:val="single" w:color="auto" w:sz="4" w:space="0"/>
              <w:right w:val="single" w:color="auto" w:sz="4" w:space="0"/>
            </w:tcBorders>
          </w:tcPr>
          <w:p>
            <w:pPr>
              <w:spacing w:afterLines="25" w:line="300" w:lineRule="exact"/>
              <w:rPr>
                <w:rFonts w:hint="eastAsia" w:ascii="宋体" w:hAnsi="宋体" w:eastAsia="宋体" w:cs="Arial"/>
                <w:color w:val="FF0000"/>
                <w:szCs w:val="21"/>
                <w:highlight w:val="none"/>
              </w:rPr>
            </w:pPr>
            <w:r>
              <w:rPr>
                <w:rFonts w:hint="eastAsia" w:ascii="宋体" w:hAnsi="宋体" w:eastAsia="宋体" w:cs="Arial"/>
                <w:color w:val="FF0000"/>
                <w:szCs w:val="21"/>
                <w:highlight w:val="none"/>
              </w:rPr>
              <w:t>（1）要求中标方对本项目所采购的各项货物及货物集成提供质保期三年。</w:t>
            </w:r>
          </w:p>
          <w:p>
            <w:pPr>
              <w:spacing w:afterLines="25" w:line="300" w:lineRule="exact"/>
              <w:rPr>
                <w:rFonts w:ascii="宋体" w:hAnsi="宋体" w:eastAsia="宋体" w:cs="Arial"/>
                <w:color w:val="FF0000"/>
                <w:szCs w:val="21"/>
                <w:highlight w:val="none"/>
              </w:rPr>
            </w:pPr>
            <w:r>
              <w:rPr>
                <w:rFonts w:hint="eastAsia" w:ascii="宋体" w:hAnsi="宋体" w:eastAsia="宋体" w:cs="Arial"/>
                <w:color w:val="FF0000"/>
                <w:szCs w:val="21"/>
                <w:highlight w:val="none"/>
              </w:rPr>
              <w:t>（2）要求中标方在交货完成后一周内，免费向用户方进行技术培训工作。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其他要求</w:t>
            </w:r>
          </w:p>
        </w:tc>
        <w:tc>
          <w:tcPr>
            <w:tcW w:w="77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1</w:t>
            </w:r>
            <w:r>
              <w:rPr>
                <w:rFonts w:hint="eastAsia" w:ascii="宋体" w:hAnsi="宋体" w:eastAsia="宋体" w:cs="Times New Roman"/>
                <w:bCs/>
                <w:color w:val="FF0000"/>
                <w:szCs w:val="21"/>
                <w:highlight w:val="none"/>
              </w:rPr>
              <w:t>）中标供应商在签订合同时应提供投标文件打印稿贰份，并加盖公章（一份交给监理公司，一份交给学校），同时提供投标文件的OFFICE文档。</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2</w:t>
            </w:r>
            <w:r>
              <w:rPr>
                <w:rFonts w:hint="eastAsia" w:ascii="宋体" w:hAnsi="宋体" w:eastAsia="宋体" w:cs="Times New Roman"/>
                <w:bCs/>
                <w:color w:val="FF0000"/>
                <w:szCs w:val="21"/>
                <w:highlight w:val="none"/>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p>
            <w:pPr>
              <w:rPr>
                <w:rFonts w:hint="eastAsia"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3</w:t>
            </w:r>
            <w:r>
              <w:rPr>
                <w:rFonts w:hint="eastAsia" w:ascii="宋体" w:hAnsi="宋体" w:eastAsia="宋体" w:cs="Times New Roman"/>
                <w:bCs/>
                <w:color w:val="FF0000"/>
                <w:szCs w:val="21"/>
                <w:highlight w:val="none"/>
              </w:rPr>
              <w:t>）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p>
            <w:pPr>
              <w:rPr>
                <w:rFonts w:ascii="宋体" w:hAnsi="宋体" w:eastAsia="宋体" w:cs="Times New Roman"/>
                <w:bCs/>
                <w:color w:val="FF0000"/>
                <w:szCs w:val="21"/>
                <w:highlight w:val="none"/>
              </w:rPr>
            </w:pPr>
            <w:r>
              <w:rPr>
                <w:rFonts w:hint="eastAsia" w:ascii="宋体" w:hAnsi="宋体" w:eastAsia="宋体" w:cs="Times New Roman"/>
                <w:bCs/>
                <w:color w:val="FF0000"/>
                <w:szCs w:val="21"/>
                <w:highlight w:val="none"/>
              </w:rPr>
              <w:t>（</w:t>
            </w:r>
            <w:r>
              <w:rPr>
                <w:rFonts w:hint="eastAsia" w:ascii="宋体" w:hAnsi="宋体" w:eastAsia="宋体" w:cs="Times New Roman"/>
                <w:bCs/>
                <w:color w:val="FF0000"/>
                <w:szCs w:val="21"/>
                <w:highlight w:val="none"/>
                <w:lang w:val="en-US" w:eastAsia="zh-CN"/>
              </w:rPr>
              <w:t>4</w:t>
            </w:r>
            <w:r>
              <w:rPr>
                <w:rFonts w:hint="eastAsia" w:ascii="宋体" w:hAnsi="宋体" w:eastAsia="宋体" w:cs="Times New Roman"/>
                <w:bCs/>
                <w:color w:val="FF0000"/>
                <w:szCs w:val="21"/>
                <w:highlight w:val="none"/>
              </w:rPr>
              <w:t>）投标商必须确保中标后提供的货物为正规渠道供货，不存在违反国家法律、法规的情况。</w:t>
            </w:r>
          </w:p>
        </w:tc>
      </w:tr>
    </w:tbl>
    <w:p>
      <w:pPr>
        <w:spacing w:afterLines="25" w:line="300" w:lineRule="auto"/>
        <w:rPr>
          <w:rFonts w:ascii="Arial" w:hAnsi="Arial" w:eastAsia="宋体" w:cs="Times New Roman"/>
          <w:szCs w:val="24"/>
          <w:highlight w:val="none"/>
        </w:rPr>
      </w:pPr>
    </w:p>
    <w:p>
      <w:pPr>
        <w:widowControl/>
        <w:jc w:val="left"/>
        <w:rPr>
          <w:rFonts w:ascii="Arial" w:hAnsi="Arial" w:eastAsia="宋体" w:cs="Times New Roman"/>
          <w:szCs w:val="24"/>
          <w:highlight w:val="none"/>
        </w:rPr>
      </w:pPr>
    </w:p>
    <w:p>
      <w:pPr>
        <w:keepNext/>
        <w:keepLines/>
        <w:tabs>
          <w:tab w:val="left" w:pos="1680"/>
        </w:tabs>
        <w:spacing w:before="260" w:afterLines="25"/>
        <w:jc w:val="center"/>
        <w:outlineLvl w:val="2"/>
        <w:rPr>
          <w:rFonts w:ascii="Arial" w:hAnsi="Arial" w:eastAsia="宋体" w:cs="Times New Roman"/>
          <w:b/>
          <w:bCs/>
          <w:sz w:val="32"/>
          <w:szCs w:val="32"/>
          <w:highlight w:val="none"/>
        </w:rPr>
      </w:pPr>
      <w:r>
        <w:rPr>
          <w:rFonts w:hint="eastAsia" w:ascii="Arial" w:hAnsi="Arial" w:eastAsia="宋体" w:cs="Times New Roman"/>
          <w:b/>
          <w:bCs/>
          <w:sz w:val="32"/>
          <w:szCs w:val="32"/>
          <w:highlight w:val="none"/>
          <w:lang w:val="en-US" w:eastAsia="zh-CN"/>
        </w:rPr>
        <w:t>五</w:t>
      </w:r>
      <w:r>
        <w:rPr>
          <w:rFonts w:hint="eastAsia" w:ascii="Arial" w:hAnsi="Arial" w:eastAsia="宋体" w:cs="Times New Roman"/>
          <w:b/>
          <w:bCs/>
          <w:sz w:val="32"/>
          <w:szCs w:val="32"/>
          <w:highlight w:val="none"/>
        </w:rPr>
        <w:t>、技术</w:t>
      </w:r>
      <w:r>
        <w:rPr>
          <w:rFonts w:hint="eastAsia" w:ascii="Arial" w:hAnsi="Arial" w:eastAsia="宋体" w:cs="Times New Roman"/>
          <w:b/>
          <w:bCs/>
          <w:sz w:val="32"/>
          <w:szCs w:val="32"/>
          <w:highlight w:val="none"/>
          <w:lang w:val="en-US" w:eastAsia="zh-CN"/>
        </w:rPr>
        <w:t>要求</w:t>
      </w:r>
      <w:r>
        <w:rPr>
          <w:rFonts w:hint="eastAsia" w:ascii="Arial" w:hAnsi="Arial" w:eastAsia="宋体" w:cs="Times New Roman"/>
          <w:b/>
          <w:bCs/>
          <w:sz w:val="32"/>
          <w:szCs w:val="32"/>
          <w:highlight w:val="none"/>
        </w:rPr>
        <w:t>部分</w:t>
      </w:r>
    </w:p>
    <w:p>
      <w:pPr>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1、带</w:t>
      </w:r>
      <w:r>
        <w:rPr>
          <w:rFonts w:hint="eastAsia" w:ascii="宋体" w:hAnsi="宋体" w:eastAsia="宋体" w:cs="Times New Roman"/>
          <w:b/>
          <w:bCs/>
          <w:color w:val="FF0000"/>
          <w:szCs w:val="21"/>
          <w:highlight w:val="none"/>
        </w:rPr>
        <w:t>★</w:t>
      </w:r>
      <w:r>
        <w:rPr>
          <w:rFonts w:hint="eastAsia" w:ascii="宋体" w:hAnsi="宋体" w:eastAsia="宋体" w:cs="Times New Roman"/>
          <w:b/>
          <w:color w:val="FF0000"/>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4、针对招标文件产品技术参数如涉及相关既定值、单向范围值、区间范围值的，投标技术参数响应方式举例说明如下：</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（1）涉及相关既定值的，例：招标技术参数要求值为“20L”，投标技术参数响应值与“20L”不一致的，均视为负偏离；</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hint="default" w:ascii="Calibri" w:hAnsi="Calibri" w:eastAsia="宋体" w:cs="Times New Roman"/>
          <w:color w:val="FF0000"/>
          <w:szCs w:val="21"/>
          <w:highlight w:val="none"/>
          <w:lang w:val="en-US" w:eastAsia="zh-CN"/>
        </w:rPr>
      </w:pPr>
      <w:r>
        <w:rPr>
          <w:rFonts w:hint="default" w:ascii="Calibri" w:hAnsi="Calibri" w:eastAsia="宋体" w:cs="Times New Roman"/>
          <w:color w:val="FF0000"/>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746"/>
        <w:gridCol w:w="488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pPr>
              <w:widowControl/>
              <w:spacing w:line="400" w:lineRule="exact"/>
              <w:jc w:val="center"/>
              <w:rPr>
                <w:rFonts w:ascii="宋体" w:hAnsi="宋体" w:cs="宋体"/>
                <w:b/>
                <w:szCs w:val="21"/>
                <w:highlight w:val="none"/>
              </w:rPr>
            </w:pPr>
            <w:r>
              <w:rPr>
                <w:rFonts w:hint="eastAsia" w:ascii="宋体" w:hAnsi="宋体" w:cs="宋体"/>
                <w:b/>
                <w:szCs w:val="21"/>
                <w:highlight w:val="none"/>
              </w:rPr>
              <w:t>序号</w:t>
            </w:r>
          </w:p>
        </w:tc>
        <w:tc>
          <w:tcPr>
            <w:tcW w:w="1025" w:type="pct"/>
            <w:vAlign w:val="center"/>
          </w:tcPr>
          <w:p>
            <w:pPr>
              <w:widowControl/>
              <w:spacing w:line="400" w:lineRule="exact"/>
              <w:jc w:val="center"/>
              <w:rPr>
                <w:rFonts w:ascii="宋体" w:hAnsi="宋体" w:cs="宋体"/>
                <w:b/>
                <w:szCs w:val="21"/>
                <w:highlight w:val="none"/>
              </w:rPr>
            </w:pPr>
            <w:r>
              <w:rPr>
                <w:rFonts w:hint="eastAsia" w:ascii="宋体" w:hAnsi="宋体" w:cs="宋体"/>
                <w:b/>
                <w:szCs w:val="21"/>
                <w:highlight w:val="none"/>
              </w:rPr>
              <w:t>设备名称</w:t>
            </w:r>
          </w:p>
        </w:tc>
        <w:tc>
          <w:tcPr>
            <w:tcW w:w="2866" w:type="pct"/>
            <w:vAlign w:val="center"/>
          </w:tcPr>
          <w:p>
            <w:pPr>
              <w:widowControl/>
              <w:spacing w:line="400" w:lineRule="exact"/>
              <w:jc w:val="center"/>
              <w:rPr>
                <w:rFonts w:ascii="宋体" w:hAnsi="宋体" w:cs="宋体"/>
                <w:b/>
                <w:szCs w:val="21"/>
                <w:highlight w:val="none"/>
              </w:rPr>
            </w:pPr>
            <w:r>
              <w:rPr>
                <w:rFonts w:hint="eastAsia" w:ascii="宋体" w:hAnsi="宋体" w:cs="宋体"/>
                <w:b/>
                <w:szCs w:val="21"/>
                <w:highlight w:val="none"/>
              </w:rPr>
              <w:t>技术参数要求</w:t>
            </w:r>
          </w:p>
        </w:tc>
        <w:tc>
          <w:tcPr>
            <w:tcW w:w="554" w:type="pct"/>
            <w:vAlign w:val="center"/>
          </w:tcPr>
          <w:p>
            <w:pPr>
              <w:widowControl/>
              <w:spacing w:line="400" w:lineRule="exact"/>
              <w:jc w:val="center"/>
              <w:rPr>
                <w:rFonts w:ascii="宋体" w:hAnsi="宋体" w:cs="宋体"/>
                <w:b/>
                <w:szCs w:val="21"/>
                <w:highlight w:val="none"/>
              </w:rPr>
            </w:pPr>
            <w:r>
              <w:rPr>
                <w:rFonts w:hint="eastAsia" w:ascii="宋体" w:hAnsi="宋体" w:cs="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4"/>
            <w:vAlign w:val="center"/>
          </w:tcPr>
          <w:p>
            <w:pPr>
              <w:spacing w:line="400" w:lineRule="exact"/>
              <w:jc w:val="center"/>
              <w:rPr>
                <w:rFonts w:hint="eastAsia" w:ascii="宋体" w:hAnsi="宋体" w:cs="宋体"/>
                <w:bCs/>
                <w:szCs w:val="21"/>
                <w:highlight w:val="none"/>
              </w:rPr>
            </w:pPr>
            <w:r>
              <w:rPr>
                <w:rFonts w:hint="eastAsia" w:ascii="宋体" w:hAnsi="宋体" w:cs="宋体"/>
                <w:bCs/>
                <w:szCs w:val="21"/>
                <w:highlight w:val="none"/>
              </w:rPr>
              <w:t>一、化学部分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15" w:name="OLE_LINK11"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仪器车</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双层仪器车和万向转动轮组成，支柱采用不锈钢方管弯制而成，托盘采用不锈钢钢板折制,托盘边栏高度26mm</w:t>
            </w:r>
            <w:r>
              <w:rPr>
                <w:rFonts w:hint="eastAsia" w:ascii="宋体" w:hAnsi="宋体" w:cs="宋体"/>
                <w:bCs/>
                <w:kern w:val="0"/>
                <w:szCs w:val="21"/>
                <w:highlight w:val="none"/>
                <w:lang w:bidi="ar"/>
              </w:rPr>
              <w:t>±10%</w:t>
            </w:r>
            <w:r>
              <w:rPr>
                <w:rFonts w:hint="eastAsia" w:ascii="宋体" w:hAnsi="宋体" w:cs="宋体"/>
                <w:bCs/>
                <w:szCs w:val="21"/>
                <w:highlight w:val="none"/>
              </w:rPr>
              <w:t>，双层托盘层距36mm</w:t>
            </w:r>
            <w:r>
              <w:rPr>
                <w:rFonts w:hint="eastAsia" w:ascii="宋体" w:hAnsi="宋体" w:cs="宋体"/>
                <w:bCs/>
                <w:kern w:val="0"/>
                <w:szCs w:val="21"/>
                <w:highlight w:val="none"/>
                <w:lang w:bidi="ar"/>
              </w:rPr>
              <w:t>±10%</w:t>
            </w:r>
            <w:r>
              <w:rPr>
                <w:rFonts w:hint="eastAsia" w:ascii="宋体" w:hAnsi="宋体" w:cs="宋体"/>
                <w:bCs/>
                <w:szCs w:val="21"/>
                <w:highlight w:val="none"/>
              </w:rPr>
              <w:t>，安装完整体尺寸：600mm</w:t>
            </w:r>
            <w:r>
              <w:rPr>
                <w:rFonts w:hint="eastAsia" w:ascii="宋体" w:hAnsi="宋体" w:cs="宋体"/>
                <w:bCs/>
                <w:kern w:val="0"/>
                <w:szCs w:val="21"/>
                <w:highlight w:val="none"/>
                <w:lang w:bidi="ar"/>
              </w:rPr>
              <w:t>±10%</w:t>
            </w:r>
            <w:r>
              <w:rPr>
                <w:rFonts w:hint="eastAsia" w:ascii="宋体" w:hAnsi="宋体" w:cs="宋体"/>
                <w:bCs/>
                <w:szCs w:val="21"/>
                <w:highlight w:val="none"/>
              </w:rPr>
              <w:t>×400mm</w:t>
            </w:r>
            <w:r>
              <w:rPr>
                <w:rFonts w:hint="eastAsia" w:ascii="宋体" w:hAnsi="宋体" w:cs="宋体"/>
                <w:bCs/>
                <w:kern w:val="0"/>
                <w:szCs w:val="21"/>
                <w:highlight w:val="none"/>
                <w:lang w:bidi="ar"/>
              </w:rPr>
              <w:t>±10%</w:t>
            </w:r>
            <w:r>
              <w:rPr>
                <w:rFonts w:hint="eastAsia" w:ascii="宋体" w:hAnsi="宋体" w:cs="宋体"/>
                <w:bCs/>
                <w:szCs w:val="21"/>
                <w:highlight w:val="none"/>
              </w:rPr>
              <w:t>×800mm</w:t>
            </w:r>
            <w:r>
              <w:rPr>
                <w:rFonts w:hint="eastAsia" w:ascii="宋体" w:hAnsi="宋体" w:cs="宋体"/>
                <w:bCs/>
                <w:kern w:val="0"/>
                <w:szCs w:val="21"/>
                <w:highlight w:val="none"/>
                <w:lang w:bidi="ar"/>
              </w:rPr>
              <w:t>±10%</w:t>
            </w:r>
            <w:r>
              <w:rPr>
                <w:rFonts w:hint="eastAsia" w:ascii="宋体" w:hAnsi="宋体" w:cs="宋体"/>
                <w:bCs/>
                <w:szCs w:val="21"/>
                <w:highlight w:val="none"/>
              </w:rPr>
              <w:t>；</w:t>
            </w:r>
          </w:p>
        </w:tc>
        <w:tc>
          <w:tcPr>
            <w:tcW w:w="554" w:type="pct"/>
          </w:tcPr>
          <w:p>
            <w:pPr>
              <w:spacing w:line="40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电动离心机1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由低速离心机和12支20ml离心管组成，定时开关可进行0-60分定时选择，转速0-4000可调，容量20mL×6；</w:t>
            </w:r>
          </w:p>
        </w:tc>
        <w:tc>
          <w:tcPr>
            <w:tcW w:w="554" w:type="pct"/>
          </w:tcPr>
          <w:p>
            <w:pPr>
              <w:spacing w:line="40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电动离心机2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由高速离心机和12支1.5ml离心管组成，最高转速：16000 r/min ，离心力：17000g；</w:t>
            </w:r>
          </w:p>
        </w:tc>
        <w:tc>
          <w:tcPr>
            <w:tcW w:w="554" w:type="pct"/>
          </w:tcPr>
          <w:p>
            <w:pPr>
              <w:spacing w:line="40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磁力加热搅拌器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加热功率≥300W，转速范围：启动-2500转可调；</w:t>
            </w:r>
          </w:p>
        </w:tc>
        <w:tc>
          <w:tcPr>
            <w:tcW w:w="554" w:type="pct"/>
          </w:tcPr>
          <w:p>
            <w:pPr>
              <w:spacing w:line="40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酒精喷灯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由壶体、预热杯、喷火管、火苗调节杆、漏斗和灭火板等组成，整体为铜制，整体高度为160mm</w:t>
            </w:r>
            <w:r>
              <w:rPr>
                <w:rFonts w:hint="eastAsia" w:ascii="宋体" w:hAnsi="宋体" w:cs="宋体"/>
                <w:bCs/>
                <w:kern w:val="0"/>
                <w:szCs w:val="21"/>
                <w:highlight w:val="none"/>
                <w:lang w:bidi="ar"/>
              </w:rPr>
              <w:t>±10%</w:t>
            </w:r>
            <w:r>
              <w:rPr>
                <w:rFonts w:hint="eastAsia" w:ascii="宋体" w:hAnsi="宋体" w:cs="宋体"/>
                <w:bCs/>
                <w:szCs w:val="21"/>
                <w:highlight w:val="none"/>
              </w:rPr>
              <w:t>,壶体直径为104mm</w:t>
            </w:r>
            <w:r>
              <w:rPr>
                <w:rFonts w:hint="eastAsia"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电加热器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由底座、加热盘、数显窗口、调节按钮等组成，额定功率≥2000W，额定温度≥400℃，采用远红外加热，密封式；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电冰箱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容量≥150L，一级能耗；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水浴锅</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由水浴锅和不同直径的圈盖组成，整体由全铜制作，用于100℃以下的产品加热，水浴锅直径150mm±10%,高75mm±10%；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保温漏斗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由双层漏斗组成，整体由全铜制作，漏斗上口径95mm±10%,下口径17mm±10%，漏斗加热管直径28mm±10%；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5mL，塑料；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20mL，塑料；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注射器5</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塑料洗瓶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由洗瓶和带喷嘴的壶盖组成,容量250ml,最小刻度25ml,精度值25ml；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碘升华凝华管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全玻璃制碘管，呈锤子形，内部密封固态碘；</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循环水真空泵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上反水（四氟）；</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三脚架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由铸铁圆环和三只脚组成</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泥三角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陶制泥三角，三个空心陶泥管用铅丝连接成三角形</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木质试管架，6孔6柱，表面做清漆处理</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漏斗架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由支承板、底板、立柱等组成，板上布有2个圆孔，另有可调高度的紧固装置，底板由铁板冲压而成，支承板和底座均作防腐处理</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滴定台</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由底板、立杆组成，底座为大理石制造，表面无划伤、裂纹，底面嵌接橡胶垫脚，立杆用圆钢制造，表面镀铬；</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滴定夹</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由铝合金压铸而成，蝶式结构，两端能夹持30mm以下直径的滴定管，两管平行，两对夹脚均套有蓝色防滑乳胶套；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高中学生电源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交流：2V～16V/3A，每2V一档；直流稳压：2V～16V/2A，每2V一档；</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高中教学电源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交流：2V～24V，每2V一档，2V～6V/12A，8V～12V/6A，14V～24V/3A；直流稳压：1V～25V分档连续可调，2V～6V/6A，8V～12V/4A，14V～24V/2A；</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托盘天平</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由底座、横梁、平衡螺母、标尺、游标、指针、刻度盘、托盘和砝码组成，最大称量值：100g,精度值0.1g，标尺称量0</w:t>
            </w:r>
            <w:r>
              <w:rPr>
                <w:rFonts w:ascii="宋体" w:hAnsi="宋体" w:cs="宋体"/>
                <w:bCs/>
                <w:kern w:val="0"/>
                <w:szCs w:val="21"/>
                <w:highlight w:val="none"/>
                <w:lang w:bidi="ar"/>
              </w:rPr>
              <w:t>g</w:t>
            </w:r>
            <w:r>
              <w:rPr>
                <w:rFonts w:hint="eastAsia" w:ascii="宋体" w:hAnsi="宋体" w:cs="宋体"/>
                <w:bCs/>
                <w:kern w:val="0"/>
                <w:szCs w:val="21"/>
                <w:highlight w:val="none"/>
                <w:lang w:bidi="ar"/>
              </w:rPr>
              <w:t>-5g，除托盘外均为金属制，托盘塑料制直径84mm±10%，砝码定位包装：50g*1、20g*2、10g*1、5g*1；</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由主机、秤盘、防风罩、电源线和校准砝码组成，最大称量：100g，精度值0.01g，秤盘直径130mm±10%；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由主机、秤盘、防风罩、电源线和校准砝码组成，最大称量：200g，精度值0.001g，秤盘直径130mm</w:t>
            </w:r>
            <w:r>
              <w:rPr>
                <w:rFonts w:hint="eastAsia" w:ascii="宋体" w:hAnsi="宋体" w:cs="宋体"/>
                <w:bCs/>
                <w:kern w:val="0"/>
                <w:szCs w:val="21"/>
                <w:highlight w:val="none"/>
                <w:lang w:bidi="ar"/>
              </w:rPr>
              <w:t>±10%；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由主机、秤盘、电源线和校准砝码组成，最大称量：400g，精度值0.1g，秤盘直径130mm±10%；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由天平、防风罩、电源线、校准砝码等组成，测量范围：0</w:t>
            </w:r>
            <w:r>
              <w:rPr>
                <w:rFonts w:ascii="宋体" w:hAnsi="宋体" w:cs="宋体"/>
                <w:bCs/>
                <w:kern w:val="0"/>
                <w:szCs w:val="21"/>
                <w:highlight w:val="none"/>
                <w:lang w:bidi="ar"/>
              </w:rPr>
              <w:t>g</w:t>
            </w:r>
            <w:r>
              <w:rPr>
                <w:rFonts w:hint="eastAsia" w:ascii="宋体" w:hAnsi="宋体" w:cs="宋体"/>
                <w:bCs/>
                <w:kern w:val="0"/>
                <w:szCs w:val="21"/>
                <w:highlight w:val="none"/>
                <w:lang w:bidi="ar"/>
              </w:rPr>
              <w:t>-200g，精度值：0.0001g,秤盘直径80mm±10%,外校砝码值量：200g；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电子停表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双道计时电子停表，可显示时间日历，精度为0.01</w:t>
            </w:r>
            <w:r>
              <w:rPr>
                <w:rFonts w:ascii="宋体" w:hAnsi="宋体" w:cs="宋体"/>
                <w:bCs/>
                <w:kern w:val="0"/>
                <w:szCs w:val="21"/>
                <w:highlight w:val="none"/>
                <w:lang w:bidi="ar"/>
              </w:rPr>
              <w:t>s</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温度计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红液，0℃～100℃；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温度计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水银，0℃～360℃；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数字测温计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-30℃～+200℃；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直流电流表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实验用指针式直流电流表，双量程：-0.2～0～0.6A；-1～0～3A，准确度等级：2.5级，最大误差不超过满刻度值的±2.5%，阻尼时间≤4s,降压75±7.5mV；</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灵敏电流计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实验用指针式灵敏电流计，灵敏度：-300～0～300μA，准确度等级：2.5级，最大误差不超过满刻度值的±2.5%，阻尼时间≤4s；</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多用电表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指针式，不低于2.5级</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演示电流电压表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采用全金属机箱，全机箱防锈处理，机箱结构部分无塑料配件。交、直流微电流量程：交、直流电流检流200μA档：0～199.9μA。交、直流电流2mA档：0～1.999mA。交、直流电流20mA档：0～19.99mA。交、直流电流200mA档：0～199.9mA。交、直流电流10A档：0～10.00A。设有过流保险丝保护电路。交、直流电压量程：交、直流电压200mV档：0～199.9mV。交、直流电压2V档：0～1.999V。交、直流电压20V档：0～19.99V。交、直流电压200V档：0～199.9V。交、直流电压750V档：0～750V。误差：≤0.5%。屏幕：LED数码管3位半；</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比重计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婆梅氏比重计，测量范围：1.000～2.000；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比轻计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比轻计，测量范围：0.700～1.000；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酸度计(pH计)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测量范围pH0.0～14.0，精度值：0.01，LCD液晶显示PH、温度，自动温补，可查看电极损耗，校准方式可选择多点校准和单点校准；</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原电池实验器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由由缸体、铜电极、石墨电极、锌电极、铁电极、接线柱和盖子组成，所有电极带螺纹口连接棒，缸体为注塑成型，最大容积250ml；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溶液导电演示器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由支架、发光二级管、透明容器、电极、电源接线柱等组成，透明容器共5个，每个容器对应5个发光二极管，电极用橡胶插头和支架相连；</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中和热测定仪</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由外壳、隔热温层、内筒、盖子、温度计和搅拌棒组成，外壳为有机玻璃制，盖子为有机玻璃，带双孔；</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氢燃料电池演示器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两个质子交换膜电极，膜电极不小于33mm±10%*33mm±10%；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氢燃料电池实验器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一个质子交换膜电极，膜电极不小于15mm±10%*15mm±10%，带电流、电压表；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电解槽演示器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由阳极、阴极、离子交换膜，槽体等组成，电极采用铂金电极，槽体由有机玻璃制；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离子交换柱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含玻璃纤维和离子交换树脂；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电泳演示器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由底座电源装置、带刻度的U形管、电极、插座和开关组成；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二氧化氮球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二氧化氮球，双球，内封NO</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和N</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r>
              <w:rPr>
                <w:rFonts w:hint="eastAsia" w:ascii="宋体" w:hAnsi="宋体" w:cs="宋体"/>
                <w:bCs/>
                <w:kern w:val="0"/>
                <w:szCs w:val="21"/>
                <w:highlight w:val="none"/>
                <w:vertAlign w:val="subscript"/>
                <w:lang w:bidi="ar"/>
              </w:rPr>
              <w:t>4；</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渗析实验器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由水槽和半透膜组成，水槽为有机玻璃制，水槽上半透膜不少于2个；</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放电反应实验仪</w:t>
            </w:r>
          </w:p>
        </w:tc>
        <w:tc>
          <w:tcPr>
            <w:tcW w:w="2866" w:type="pct"/>
            <w:vAlign w:val="center"/>
          </w:tcPr>
          <w:p>
            <w:pPr>
              <w:widowControl/>
              <w:numPr>
                <w:ilvl w:val="0"/>
                <w:numId w:val="4"/>
              </w:numPr>
              <w:spacing w:line="400" w:lineRule="exact"/>
              <w:jc w:val="left"/>
              <w:textAlignment w:val="bottom"/>
              <w:rPr>
                <w:rFonts w:ascii="宋体" w:hAnsi="宋体" w:cs="宋体"/>
                <w:bCs/>
                <w:szCs w:val="21"/>
                <w:highlight w:val="none"/>
              </w:rPr>
            </w:pPr>
            <w:r>
              <w:rPr>
                <w:rFonts w:hint="eastAsia" w:ascii="宋体" w:hAnsi="宋体" w:cs="宋体"/>
                <w:bCs/>
                <w:kern w:val="0"/>
                <w:szCs w:val="21"/>
                <w:highlight w:val="none"/>
                <w:lang w:bidi="ar"/>
              </w:rPr>
              <w:t>通电两分钟之内即有氮气与氧气反应的现象，消耗功率不大于30W；</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光化学实验演示器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由塑料机座、闪光装置、玻璃试管及安全防护罩组成，可完成氢氯混合气体闪光引爆实验、溴化银感光分解实验、甲烷和氯气混合气体取代反应闪光爆鸣实验；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化学实验演示平台</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由底座、摄像头、试管、试管支架、软件等组成；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炼铁高炉模型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炼铁高炉缩小模型，装置于底座上，高度不小于650mm；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分子结构模型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演示用，氢原子球直径不小于23mm，其他原子球直径不小于30mm，光滑圆球无毛刺链接棍可多角度弯曲不断裂；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金刚石结构模型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w:t>
            </w:r>
            <w:r>
              <w:rPr>
                <w:rFonts w:ascii="宋体" w:hAnsi="宋体" w:cs="宋体"/>
                <w:bCs/>
                <w:kern w:val="0"/>
                <w:szCs w:val="21"/>
                <w:highlight w:val="none"/>
                <w:lang w:bidi="ar"/>
              </w:rPr>
              <w:t>±10%</w:t>
            </w:r>
            <w:r>
              <w:rPr>
                <w:rFonts w:hint="eastAsia" w:ascii="宋体" w:hAnsi="宋体" w:cs="宋体"/>
                <w:bCs/>
                <w:kern w:val="0"/>
                <w:szCs w:val="21"/>
                <w:highlight w:val="none"/>
                <w:lang w:bidi="ar"/>
              </w:rPr>
              <w:t>组合，铝合金棍子连接组装好，整体尺寸：长21.5cm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*宽21.5cm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*高21.5cm</w:t>
            </w:r>
            <w:r>
              <w:rPr>
                <w:rFonts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石墨结构模型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w:t>
            </w:r>
            <w:r>
              <w:rPr>
                <w:rFonts w:ascii="宋体" w:hAnsi="宋体" w:cs="宋体"/>
                <w:bCs/>
                <w:kern w:val="0"/>
                <w:szCs w:val="21"/>
                <w:highlight w:val="none"/>
                <w:lang w:bidi="ar"/>
              </w:rPr>
              <w:t>±10%</w:t>
            </w:r>
            <w:r>
              <w:rPr>
                <w:rFonts w:hint="eastAsia" w:ascii="宋体" w:hAnsi="宋体" w:cs="宋体"/>
                <w:bCs/>
                <w:kern w:val="0"/>
                <w:szCs w:val="21"/>
                <w:highlight w:val="none"/>
                <w:lang w:bidi="ar"/>
              </w:rPr>
              <w:t>组合，铝合金棍子连接组装好，整体尺寸：长21.5cm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*宽21.5cm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*高21.5cm</w:t>
            </w:r>
            <w:r>
              <w:rPr>
                <w:rFonts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碳-60结构模型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球直径不小于30mm；塑料棍，半散装，组装好的整体直径约30cm</w:t>
            </w:r>
            <w:r>
              <w:rPr>
                <w:rFonts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氯化钠晶体结构模型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塑料球，球直径30mm-23mm组合，铝合金棍子连接组装好，整体尺寸：长21.5cm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*宽21.5cm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*高21.5cm</w:t>
            </w:r>
            <w:r>
              <w:rPr>
                <w:rFonts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碳的同素异形体结构模型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包括金刚石、石墨、碳-60三种结构模型；小型，球管式，可拆卸；</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氯化铯晶体结构模型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塑料球，球直径30mm-23mm组合，铝合金棍子连接组装好，整体尺寸：长21.5cm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*宽21.5cm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*高21.5cm</w:t>
            </w:r>
            <w:r>
              <w:rPr>
                <w:rFonts w:ascii="宋体" w:hAnsi="宋体" w:cs="宋体"/>
                <w:bCs/>
                <w:kern w:val="0"/>
                <w:szCs w:val="21"/>
                <w:highlight w:val="none"/>
                <w:lang w:bidi="ar"/>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二氧化碳晶体结构模型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塑料球，球直径30mm-23mm组合，铝合金棍子连接组装好，整体尺寸：长21.5cm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*宽21.5cm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*高21.5cm</w:t>
            </w:r>
            <w:r>
              <w:rPr>
                <w:rFonts w:ascii="宋体" w:hAnsi="宋体" w:cs="宋体"/>
                <w:bCs/>
                <w:kern w:val="0"/>
                <w:szCs w:val="21"/>
                <w:highlight w:val="none"/>
                <w:lang w:bidi="ar"/>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二氧化硅晶体结构模型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塑料球，球直径30mm-23mm组合，铝合金棍子连接组装好，整体尺寸：长</w:t>
            </w:r>
            <w:r>
              <w:rPr>
                <w:rFonts w:ascii="宋体" w:hAnsi="宋体" w:cs="宋体"/>
                <w:bCs/>
                <w:kern w:val="0"/>
                <w:szCs w:val="21"/>
                <w:highlight w:val="none"/>
                <w:lang w:bidi="ar"/>
              </w:rPr>
              <w:t>19</w:t>
            </w:r>
            <w:r>
              <w:rPr>
                <w:rFonts w:hint="eastAsia" w:ascii="宋体" w:hAnsi="宋体" w:cs="宋体"/>
                <w:bCs/>
                <w:kern w:val="0"/>
                <w:szCs w:val="21"/>
                <w:highlight w:val="none"/>
                <w:lang w:bidi="ar"/>
              </w:rPr>
              <w:t>.5cm</w:t>
            </w:r>
            <w:r>
              <w:rPr>
                <w:rFonts w:ascii="宋体" w:hAnsi="宋体" w:cs="宋体"/>
                <w:bCs/>
                <w:kern w:val="0"/>
                <w:szCs w:val="21"/>
                <w:highlight w:val="none"/>
                <w:lang w:bidi="ar"/>
              </w:rPr>
              <w:t>±10%</w:t>
            </w:r>
            <w:r>
              <w:rPr>
                <w:rFonts w:hint="eastAsia" w:ascii="宋体" w:hAnsi="宋体" w:cs="宋体"/>
                <w:bCs/>
                <w:kern w:val="0"/>
                <w:szCs w:val="21"/>
                <w:highlight w:val="none"/>
                <w:lang w:bidi="ar"/>
              </w:rPr>
              <w:t>*宽1</w:t>
            </w:r>
            <w:r>
              <w:rPr>
                <w:rFonts w:ascii="宋体" w:hAnsi="宋体" w:cs="宋体"/>
                <w:bCs/>
                <w:kern w:val="0"/>
                <w:szCs w:val="21"/>
                <w:highlight w:val="none"/>
                <w:lang w:bidi="ar"/>
              </w:rPr>
              <w:t>9</w:t>
            </w:r>
            <w:r>
              <w:rPr>
                <w:rFonts w:hint="eastAsia" w:ascii="宋体" w:hAnsi="宋体" w:cs="宋体"/>
                <w:bCs/>
                <w:kern w:val="0"/>
                <w:szCs w:val="21"/>
                <w:highlight w:val="none"/>
                <w:lang w:bidi="ar"/>
              </w:rPr>
              <w:t>.5cm</w:t>
            </w:r>
            <w:r>
              <w:rPr>
                <w:rFonts w:ascii="宋体" w:hAnsi="宋体" w:cs="宋体"/>
                <w:bCs/>
                <w:kern w:val="0"/>
                <w:szCs w:val="21"/>
                <w:highlight w:val="none"/>
                <w:lang w:bidi="ar"/>
              </w:rPr>
              <w:t>±10%</w:t>
            </w:r>
            <w:r>
              <w:rPr>
                <w:rFonts w:hint="eastAsia" w:ascii="宋体" w:hAnsi="宋体" w:cs="宋体"/>
                <w:bCs/>
                <w:kern w:val="0"/>
                <w:szCs w:val="21"/>
                <w:highlight w:val="none"/>
                <w:lang w:bidi="ar"/>
              </w:rPr>
              <w:t>*高1</w:t>
            </w:r>
            <w:r>
              <w:rPr>
                <w:rFonts w:ascii="宋体" w:hAnsi="宋体" w:cs="宋体"/>
                <w:bCs/>
                <w:kern w:val="0"/>
                <w:szCs w:val="21"/>
                <w:highlight w:val="none"/>
                <w:lang w:bidi="ar"/>
              </w:rPr>
              <w:t>9</w:t>
            </w:r>
            <w:r>
              <w:rPr>
                <w:rFonts w:hint="eastAsia" w:ascii="宋体" w:hAnsi="宋体" w:cs="宋体"/>
                <w:bCs/>
                <w:kern w:val="0"/>
                <w:szCs w:val="21"/>
                <w:highlight w:val="none"/>
                <w:lang w:bidi="ar"/>
              </w:rPr>
              <w:t>.5cm</w:t>
            </w:r>
            <w:r>
              <w:rPr>
                <w:rFonts w:ascii="宋体" w:hAnsi="宋体" w:cs="宋体"/>
                <w:bCs/>
                <w:kern w:val="0"/>
                <w:szCs w:val="21"/>
                <w:highlight w:val="none"/>
                <w:lang w:bidi="ar"/>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金属晶体结构模型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球直径30mm</w:t>
            </w:r>
            <w:r>
              <w:rPr>
                <w:rFonts w:ascii="宋体" w:hAnsi="宋体" w:cs="宋体"/>
                <w:bCs/>
                <w:kern w:val="0"/>
                <w:szCs w:val="21"/>
                <w:highlight w:val="none"/>
                <w:lang w:bidi="ar"/>
              </w:rPr>
              <w:t>±10%</w:t>
            </w:r>
            <w:r>
              <w:rPr>
                <w:rFonts w:hint="eastAsia" w:ascii="宋体" w:hAnsi="宋体" w:cs="宋体"/>
                <w:bCs/>
                <w:kern w:val="0"/>
                <w:szCs w:val="21"/>
                <w:highlight w:val="none"/>
                <w:lang w:bidi="ar"/>
              </w:rPr>
              <w:t>和直径50mm</w:t>
            </w:r>
            <w:r>
              <w:rPr>
                <w:rFonts w:ascii="宋体" w:hAnsi="宋体" w:cs="宋体"/>
                <w:bCs/>
                <w:kern w:val="0"/>
                <w:szCs w:val="21"/>
                <w:highlight w:val="none"/>
                <w:lang w:bidi="ar"/>
              </w:rPr>
              <w:t>±10%</w:t>
            </w:r>
            <w:r>
              <w:rPr>
                <w:rFonts w:hint="eastAsia" w:ascii="宋体" w:hAnsi="宋体" w:cs="宋体"/>
                <w:bCs/>
                <w:kern w:val="0"/>
                <w:szCs w:val="21"/>
                <w:highlight w:val="none"/>
                <w:lang w:bidi="ar"/>
              </w:rPr>
              <w:t>，2件/套；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电子云杂化轨道模型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S、SP、SP2、SP3、Px、Py、Pz；平均高度35cm</w:t>
            </w:r>
            <w:r>
              <w:rPr>
                <w:rFonts w:ascii="宋体" w:hAnsi="宋体" w:cs="宋体"/>
                <w:bCs/>
                <w:kern w:val="0"/>
                <w:szCs w:val="21"/>
                <w:highlight w:val="none"/>
                <w:lang w:bidi="ar"/>
              </w:rPr>
              <w:t>±10%</w:t>
            </w:r>
            <w:r>
              <w:rPr>
                <w:rFonts w:hint="eastAsia" w:ascii="宋体" w:hAnsi="宋体" w:cs="宋体"/>
                <w:bCs/>
                <w:kern w:val="0"/>
                <w:szCs w:val="21"/>
                <w:highlight w:val="none"/>
                <w:lang w:bidi="ar"/>
              </w:rPr>
              <w:t>，带底座，带xyz字母坐标轴；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气体摩尔体积模型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由气体摩尔体积的正方体组成，正方体的面为透明的有机玻璃，面与面用专用的联接角连接；</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沸腾焙烧炉模型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由炉膛、进料口、风帽、进气口、出气口、出渣口等组成；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硫酸接触室模型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由催化剂、天板、进气口、出气口、热交换器、架板等组成；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氨合成塔模型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由电加热器、电极、进气口、触媒、电炉丝、绝热层、中心上升管、热交换室、列管、出气口等组成；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炼钢转炉模型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由加料口、进水管、出水管、排气罩、氧气喷枪、耐火砖、出钢口、炉膛、控制箱等模型组成；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金属矿物、金属及合金标本</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由铜矿、铜、铁矿、铁、锡矿、锡丝、钨矿、钨丝、铝矿、铝合金组成，标本盒上盖采用透明浮法玻璃制作，下盖由厚卡纸加工制作而成；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原油常见馏分标本</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由原油、汽油、煤油、轻质润滑油、重润滑油、油渣、原油气、轻柴油、重质油、重度柴油组成，标本盒上盖采用透明浮法玻璃制作，下盖由厚卡纸加工制作而成；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合成有机高分子材料标本</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由顺丁橡胶、塑料、脲醛、聚丙烯纤维、聚酯纤维、聚苯乙烯、聚氯乙烯、聚氨酯、人造毛、合成橡胶组成，标本盒上盖采用透明浮法玻璃制作，下盖由厚卡纸加工制作而成；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新型无机非金属材料标本</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氧化铝陶瓷、氮化硅陶瓷、光导纤维不少于5种等；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复合材料标本</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由混凝土、纤维复合材料、复合板材、非金属复合材料、玻璃钢、人造革、碳纤维、铝塑材料组成；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量筒5</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量筒6</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酸式，25mL；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碱式，25mL；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滴定管3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聚四氟乙烯活塞，50mL；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φ15mm×150mm，带刻度；</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φ18mm×180mm，带刻度；</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φ20mm×200mm，带刻度；</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具支试管1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φ18mm×180mm；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具支试管2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φ20mm×200mm；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硬质玻璃管1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φ15mm×150mm；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硬质玻璃管2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φ20mm×250mm；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Y形试管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烧杯5</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烧杯6</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烧杯7</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烧杯8</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圆底，长颈，250mL；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圆底，短颈，厚口250mL；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圆底，长颈，500mL；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烧瓶4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平底，长颈，250mL；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蒸馏烧瓶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三口烧瓶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气体发生器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冷凝器1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直形，300mm；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冷凝器2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球形，300mm；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牛角管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弯形，φ18mm×150mm；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漏斗1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漏斗2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90mm；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安全漏斗1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直形；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安全漏斗2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双球；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分液漏斗1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锥(梨)形，100mL；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分液漏斗2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球形，50mL；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布氏漏斗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瓷，80mm；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T形管1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玻璃管制产品，玻璃管直径为7mm～8mm，整体呈T形，连接点到三个顶点的距离均为50mm±10%；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Y形管1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玻璃管制产品，玻璃管直径为7mm～8mm，整体呈Y形，连接点到三个顶点的距离均为50mm±10%；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T形管2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玻璃管制产品，直径为5mm～6mm，整体呈T形，连接点到三个顶点的距离均为50mm±10%；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Y形管2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玻璃管制产品，直径为5mm～6mm，整体呈Y形，连接点到三个顶点的距离均为50mm±10%；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离心管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干燥管1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单球，150mm；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干燥管2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U型，φ15mm×150mm；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干燥管3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U型，φ20mm×200mm；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干燥管4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U型，具支，φ15mm×150mm；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活塞1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直形；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活塞2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T形；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圆水槽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φ200mm×100mm；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钴玻璃片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50mm</w:t>
            </w:r>
            <w:r>
              <w:rPr>
                <w:rFonts w:hint="eastAsia" w:ascii="宋体" w:hAnsi="宋体" w:cs="宋体"/>
                <w:bCs/>
                <w:kern w:val="0"/>
                <w:szCs w:val="21"/>
                <w:highlight w:val="none"/>
                <w:lang w:bidi="ar"/>
              </w:rPr>
              <w:t>±10%</w:t>
            </w:r>
            <w:r>
              <w:rPr>
                <w:rFonts w:hint="eastAsia" w:ascii="宋体" w:hAnsi="宋体" w:cs="宋体"/>
                <w:bCs/>
                <w:szCs w:val="21"/>
                <w:highlight w:val="none"/>
              </w:rPr>
              <w:t>*50mm</w:t>
            </w:r>
            <w:r>
              <w:rPr>
                <w:rFonts w:hint="eastAsia" w:ascii="宋体" w:hAnsi="宋体" w:cs="宋体"/>
                <w:bCs/>
                <w:kern w:val="0"/>
                <w:szCs w:val="21"/>
                <w:highlight w:val="none"/>
                <w:lang w:bidi="ar"/>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集气瓶1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125mL，附毛玻璃片；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集气瓶2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250mL，附毛玻璃片；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集气瓶3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500mL，附毛玻璃片；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液封除毒气集气瓶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 xml:space="preserve">60mL </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棕色，125mL；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广口瓶5</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细口瓶5</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棕色，125mL；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细口瓶6</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细口瓶7</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细口瓶8</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30mL；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棕色，30mL；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滴瓶4</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称量瓶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φ25mm×40mm；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坩埚</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瓷，30mL；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坩埚钳</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金属，长200mm±10%；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由圆钢制造，夹持部分有耐高温、防滑橡胶保护套；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镊子</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金属镊子；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竹制试管夹，可夹持试管直径10mm～25mm；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水止皮管夹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金属制，弹簧式，表面镀锌，夹持皮管直径不小于100mm；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螺旋皮管夹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金属制，螺旋式，表面镀锌，夹持皮管直径不小于150mm；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石棉网</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由钢丝网和石棉组成，钢丝网尺寸为125mm</w:t>
            </w:r>
            <w:r>
              <w:rPr>
                <w:rFonts w:hint="eastAsia" w:ascii="宋体" w:hAnsi="宋体" w:cs="宋体"/>
                <w:bCs/>
                <w:kern w:val="0"/>
                <w:szCs w:val="21"/>
                <w:highlight w:val="none"/>
                <w:lang w:bidi="ar"/>
              </w:rPr>
              <w:t>±10%</w:t>
            </w:r>
            <w:r>
              <w:rPr>
                <w:rFonts w:hint="eastAsia" w:ascii="宋体" w:hAnsi="宋体" w:cs="宋体"/>
                <w:bCs/>
                <w:szCs w:val="21"/>
                <w:highlight w:val="none"/>
              </w:rPr>
              <w:t>*125mm</w:t>
            </w:r>
            <w:r>
              <w:rPr>
                <w:rFonts w:hint="eastAsia" w:ascii="宋体" w:hAnsi="宋体" w:cs="宋体"/>
                <w:bCs/>
                <w:kern w:val="0"/>
                <w:szCs w:val="21"/>
                <w:highlight w:val="none"/>
                <w:lang w:bidi="ar"/>
              </w:rPr>
              <w:t>±10%</w:t>
            </w:r>
            <w:r>
              <w:rPr>
                <w:rFonts w:hint="eastAsia" w:ascii="宋体" w:hAnsi="宋体" w:cs="宋体"/>
                <w:bCs/>
                <w:szCs w:val="21"/>
                <w:highlight w:val="none"/>
              </w:rPr>
              <w:t>，石棉直径不小于80mm；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隔热网</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环保型，功能与石棉网相同，隔热材料不是石棉；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二连球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由橡胶制，按压球直径45mm±10%,充气球充气后直径不小于75mm,橡胶管长度不低于400mm；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燃烧匙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由铁丝和铜制小勺铆合而成，总长210mm±10%，铜勺直径19mm±10%；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药匙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塑料制双头药匙，总长度145mm±10%；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玻璃管1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φ5mm～φ6mm；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玻璃管2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φ7mm～φ8mm；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玻璃棒1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φ3mm～φ4mm；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玻璃棒2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φ5mm～φ6mm；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软胶塞</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0号～12号可选；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橡胶管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橡胶管；</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乳胶管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乳胶管；</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洗耳球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试管刷1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小号；</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试管刷2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中号；</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试管刷3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大号；</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烧瓶刷</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由金属丝和绞合在其上的猪鬃毛制成，鬃毛呈圆锥形；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滴定管刷</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由金属丝和绞合在其上的猪鬃毛制成；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结晶皿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80mm±10%；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表面皿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表面皿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研钵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瓷，60mm±10%；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研钵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瓷，90mm±10%；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蒸发皿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瓷，100mm±10%；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反应板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瓷制，至少有6个穴；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塑料多用滴管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5ml,无菌，一次性，独立包装，120支/包；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白金丝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φ0.5mm×50mm；具金属柄，可拆卸；</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培养皿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90mm±10%；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镁条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铝(条)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铝(片)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铝(箔)</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锌(粒)</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铁(还原铁粉)</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铁(丝)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铜(紫铜片)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铜(丝)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活性炭</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二氧化锰</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三氧化二铁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氧化铜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氧化铝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氯化钙(无水)</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三氯化铁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氯化铵</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氯化亚铁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氯化亚锡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溴化钠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溴化钾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溴化铜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碘化铅</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碘化钾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亚硫酸钠(无水)</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硫酸亚铁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硫酸亚铁铵</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硫酸铜(蓝矾、胆矾)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硫酸铜(无水)</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硫酸铵</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硫酸铝钾(明矾)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硫酸锰</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硫酸锌</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硫化亚铁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铁氰化钾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碳酸氢钠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大理石</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碳酸氢铵</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硅酸钠(水玻璃)</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乙酸钠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乙酸铅</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硫氰酸钾</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硫代硫酸钠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硼酸</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氢氧化钡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氨水</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氧化钙(生石灰)</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氢氧化钙(熟石灰)</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碱石灰</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丙三醇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葡萄糖</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蔗糖</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可溶性淀粉</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煤油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植物油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食用；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石蜡(油)</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苯甲酸</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硬脂酸</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硬脂酸丁酯</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琼脂</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石蕊</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实验用指示剂；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酚酞</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实验用指示剂；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品红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染料；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甲基橙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实验用指示剂；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pH广范围试纸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测量范围1-14；</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试纸1</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教学用蓝石蕊试纸，每本100张</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试纸2</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教学用红石蕊试纸，每本100张</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试纸3</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教学用淀粉碘化钾试纸，每本100张</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亚甲基蓝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滤纸</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实验用中速定性滤纸，每盒100张；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乙醛</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乙酸乙酯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乙酸1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36%实验用试剂；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乙酸2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100%实验用试剂；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氢氧化钾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氢氧化钠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甲醛</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高中化学实验材料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小刀、棉花、木炭、火柴、蜡烛、剪刀、焊锡、炭棒、导线、电灯泡、木板、电池、电珠、砂纸等；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电极材料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石墨、铜、锌、镁、铁、锡等电极</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覆铜板1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7cm±10%*10cm±10%单面；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覆铜板2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20cm±10%*30cm±10%单面；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一字螺丝刀</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工业用一字螺丝刀，橡胶手柄，防滑处理，刀头带磁性；</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十字螺丝刀</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工业用一字螺丝刀，橡胶手柄，防滑处理,刀头带磁性；</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尖嘴钳</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长度150mm±10%；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手锤</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由锤和木质手柄组成，锤为铁质，一端为圆球形，一端为圆柱形，表面电镀处理；</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三角锉刀</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长度250mm±10%,带柄</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剪刀</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家用型剪刀，整体长度为195mm</w:t>
            </w:r>
            <w:r>
              <w:rPr>
                <w:rFonts w:hint="eastAsia" w:ascii="宋体" w:hAnsi="宋体" w:cs="宋体"/>
                <w:bCs/>
                <w:kern w:val="0"/>
                <w:szCs w:val="21"/>
                <w:highlight w:val="none"/>
                <w:lang w:bidi="ar"/>
              </w:rPr>
              <w:t>±10%</w:t>
            </w:r>
            <w:r>
              <w:rPr>
                <w:rFonts w:hint="eastAsia" w:ascii="宋体" w:hAnsi="宋体" w:cs="宋体"/>
                <w:bCs/>
                <w:szCs w:val="21"/>
                <w:highlight w:val="none"/>
              </w:rPr>
              <w:t>，塑料固定手柄，刀身为不锈钢材料，铜制铆钉；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玻璃瓶盖开启器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家用型酒类开瓶器，金属制；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玻璃管切割器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专用玻璃管切割器，金属制，表面镀铬，最大断管直径不小于30mm；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砂纸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800目；</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称量纸1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90mm±10%*90mm±10%，500张/包；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称量纸2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75mm±10%*75mm±10%，500张/包；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清洗剂</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实验室玻璃器皿化学清洗剂；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去污粉</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去污粉；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抹布</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纯棉；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不干胶标签纸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40枚红款；</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不干胶标签纸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40枚蓝款；</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沸石</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实验用试剂；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激光笔</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红色；</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酒精灯灯芯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纯棉；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洗手液</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≥450g；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火柴</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常规；</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防护面罩</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可提供颈部和头部保护；</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防毒口罩</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有活性炭；</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手套1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乳胶手套，耐酸、耐碱，内有棉毛；</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手套2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一次性乳胶手套；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简易急救箱</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由双氧水、碘伏、甲紫溶液、纱布、脱脂棉、棉签、创口贴、胶带等组成，分层药箱装；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无线抗酸碱导电率传感器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类型：环氧树脂材质，2芯铂电极；范围：0到20,000 uS/cm（0至10000 mg/L TDS）；精确度：±10uS/cm（1-4,000 uS/cm有效，自定义点校准在1413uS/cm）；分辨率：0.01 uS/cm；反应时间：5秒内达到读数的95%；温度补偿：5°C到35°C自动补偿；温度范围：0至80°C；连接方式:蓝牙4.2；电池：300mA锂电池；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无线玻璃PH传感器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电极类型：密封，凝胶填充，玻璃机身，Ag/AgCl参比；范围：PH 0-14；典型精度（工厂校准值）：±0.2PH；分辨率：0.01PH ；反应时间：1秒内达到最终读数的90%；温度范围：5到80℃（读数不补偿）；连接方式:蓝牙4.2、USB 2.0；电池：300mA锂电池；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无线气体压力传感器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范围：0至400 kPa；典型精度：±3kPa；分辨率：0.03kPa；最大采样速率：50样本/秒；最大可承受不损坏传感器的气压：410kPa；内部体积：0.8Ml；连接方式:蓝牙4.2、USB 2.0；电池：300mA锂电池；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无线光学溶解氧传感器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具有不少于5个测量通道，DO浓度、DO盐度、DO饱和度、温度、压强，无线蓝牙模块内置在传感器中。DO量程（mg/L）：0到20 mg/L，DO量程（%）：0-300%；传感器类型：冷光，响应时间：40秒内达到读数的90%，温度补偿：自动从0到50℃，压强补偿：从228 mmHg到1519 mmHg自动压强补偿，最小样本流速：没有要求，电池：锂电池，连接方式：无线蓝牙；有线：USB；</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无线二氧化碳传感器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类型：NDIR；范围：0-100000 ppm；精度：0 到1000 ppm: ±100 ppm，1000 到10000 ppm: 读数的±5%+100 ppm，10000ppm 到50000ppm: 读数的±10%，50000 到100000 ppm: 读数的±15%；分辨率：1ppm；预热时间：180秒；气体采样模式：扩散；温度传感器：类型：集成电路（IC）；精度：±0.5°C；分辨率：0.1°C；相对湿度传感器：类型：集成电路（IC）；范围：0到100%（不凝结）；精度：±0.5%或者更高；分辨率：0.1%；连接方式:蓝牙、USB 2.0；电池：650mA锂电池；正常操作温度范围：20到40℃；操作湿度范围：5到95%；</w:t>
            </w:r>
          </w:p>
        </w:tc>
        <w:tc>
          <w:tcPr>
            <w:tcW w:w="554" w:type="pct"/>
            <w:vAlign w:val="center"/>
          </w:tcPr>
          <w:p>
            <w:pPr>
              <w:widowControl/>
              <w:spacing w:line="400" w:lineRule="exact"/>
              <w:jc w:val="center"/>
              <w:rPr>
                <w:rFonts w:ascii="宋体" w:hAnsi="宋体" w:cs="宋体"/>
                <w:bCs/>
                <w:kern w:val="0"/>
                <w:szCs w:val="21"/>
                <w:highlight w:val="none"/>
              </w:rPr>
            </w:pP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rPr>
                <w:rFonts w:ascii="宋体" w:hAnsi="宋体" w:cs="宋体"/>
                <w:bCs/>
                <w:kern w:val="0"/>
                <w:szCs w:val="21"/>
                <w:highlight w:val="none"/>
              </w:rPr>
            </w:pPr>
            <w:r>
              <w:rPr>
                <w:rFonts w:hint="eastAsia" w:ascii="宋体" w:hAnsi="宋体" w:cs="宋体"/>
                <w:bCs/>
                <w:kern w:val="0"/>
                <w:szCs w:val="21"/>
                <w:highlight w:val="none"/>
              </w:rPr>
              <w:t>有机化合物</w:t>
            </w:r>
            <w:r>
              <w:rPr>
                <w:rFonts w:hint="eastAsia" w:ascii="宋体" w:hAnsi="宋体" w:cs="宋体"/>
                <w:bCs/>
                <w:szCs w:val="21"/>
                <w:highlight w:val="none"/>
              </w:rPr>
              <w:t>实验箱</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箱体规格：≥465mm长×355mm宽×205mm高，壁厚≥3mm，ABS阻燃性材料一次成型,手提翻盖式,箱体四周圆润过渡角不伤手，箱体顶部及旋盖上有方向指示标识，箱盖把手周围斜切面过渡平滑,箱体背部采用蜂巢式加强筋设计,箱盖背面设有装箱清单卡片槽，内部采用珍珠棉隔离填充材料，每种实验器材有相对应插槽；</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圆底烧瓶250ml、锥形瓶250ml、玻璃烧杯250ml、量筒25ml、分液漏斗、60mm表面皿、10ml量筒、φ30磨口试管、400ml玻璃烧杯、U形管、100ml玻璃烧杯、φ15试管、胶头滴管、尖嘴导管、研钵、药匙、坩埚钳、镊子、直形抽气接头、硅胶塞、螺口塞具支接头、长直角玻璃导管、短直角玻璃导管、具支试管、玻璃直导管、木条、玻璃棒、温度计、铜丝、蒸发皿、硅胶管、蓝色石蕊试纸、试管塞（16-22mm）、试管塞（12-17mm）、分子结构模型、PH试纸、培养皿等组成。</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可模拟演示实验种类不少于：乙醇、乙酸的主要性质；搭建球棍模型认识有机化合物分子结构的特点；乙酸乙酯的制备与性质；乙醇与金属钠的反应；乙醇在浓硫酸作用下的消去反应；乙醇在浓氢溴酸作用下的取代反应；乙醇在催化剂作用下被空气氧化；乙醇被重铬酸钾溶液氧化；石蜡油分解实验；.聚氯乙烯的性质；玻璃粉末的酸碱性测定；聚乙烯、聚氯乙烯、聚苯乙烯的区别；塑料的热塑性和热固性；水的表面张力；蛋白质的性质；蔗糖的燃烧；葡萄糖的银镜反应实验；葡萄糖与新制的氢氧化铜反应实验；蔗糖与麦芽糖的水解；比较稀硫酸、唾液对淀粉水解速率的影响；酚醛树脂的制备及性质；酚醛树脂的溶解性实验；几种纤维的性质实验；蓝瓶子实验；石蜡的催化裂化；有机化合物中常见官能团的检验；乙醇的消去反应；糖类的性质；葡萄糖、淀粉、蛋白质的特征反应；乙醇和氢卤酸反应；苯酚与溴水反应；苯酚与氯化铁反应；卤代烃的水解反应；蔗糖溶液、蔗糖水解液、麦芽糖溶液的还原性比较；水解反应趋于完全的条件；比较醋酸和碳酸酸性强弱；醋酸、硼酸中滴加碳酸钠溶液的现象比较；乙醛与新制氢氧化铜反应实验；煤的干馏；溴丁烷的消去反应；乙醛的性质；乙醛的银镜反应；合成乙酸乙酯；乙酸乙酯在酸性、中性和碱性条件下的水解；溴乙烷在氢氧化钠溶液中的水解及其产物验证；溴乙烷在氢氧化钠乙醇溶液中的消去反应；计算聚丙烯酸钠的吸水率；芳香族化合物；苯酚的性质实验；苯酚和氢氧化钠溶液的反应；苯酚钠溶液与稀盐酸的反应；苯酚与溴水的反应；苯酚与氯化铁溶液的显色反应；醋酸、苯酚和碳酸酸性强弱比较；苯酚钠溶液与二氧化碳反应产物的探究；苯的溴代、硝化实验；纤维素的水解；硬水的软化；固体酒精的制备等。</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 xml:space="preserve">注：对应参数（检验检测项）在检验检测报告中进行标注。如检验检测报告中明确备注说明相关检验检测项不在检验检测机构CMA资质许可（认定）范围内的，不符合招标文件要求。 </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4"/>
            <w:vAlign w:val="center"/>
          </w:tcPr>
          <w:p>
            <w:pPr>
              <w:spacing w:line="400" w:lineRule="exact"/>
              <w:jc w:val="center"/>
              <w:rPr>
                <w:rFonts w:hint="eastAsia" w:ascii="宋体" w:hAnsi="宋体" w:cs="宋体"/>
                <w:bCs/>
                <w:szCs w:val="21"/>
                <w:highlight w:val="none"/>
              </w:rPr>
            </w:pPr>
            <w:r>
              <w:rPr>
                <w:rFonts w:hint="eastAsia" w:ascii="宋体" w:hAnsi="宋体" w:cs="宋体"/>
                <w:bCs/>
                <w:szCs w:val="21"/>
                <w:highlight w:val="none"/>
              </w:rPr>
              <w:t>二、生物部分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16" w:name="OLE_LINK10"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光照培养箱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容积：≥250L，光照强度：0lx～12000lx分级可调，控温范围：10℃～50℃(有光照)，温度波动性：±1℃，温度均匀度：±2℃；</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二氧化碳检测仪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便携，数显型；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打孔器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四件（电动）；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药品推车</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大号多功能器械药品推车，三层带护栏；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高压灭菌锅</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手提式，容量≥18L；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规格：≥250mm×180mm×100mm；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台灯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≥40W，便携式，光照强度可调节；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塑料洗瓶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电磁炉</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透明微晶面板，双数码显示，红色显示灯，≥200mm线盘，电源线不少于1.2米，不小于2100W，配304不锈钢锅；</w:t>
            </w:r>
          </w:p>
        </w:tc>
        <w:tc>
          <w:tcPr>
            <w:tcW w:w="554" w:type="pct"/>
            <w:vAlign w:val="center"/>
          </w:tcPr>
          <w:p>
            <w:pPr>
              <w:widowControl/>
              <w:spacing w:line="400" w:lineRule="exact"/>
              <w:jc w:val="center"/>
              <w:rPr>
                <w:rFonts w:ascii="宋体" w:hAnsi="宋体" w:cs="宋体"/>
                <w:bCs/>
                <w:kern w:val="0"/>
                <w:szCs w:val="21"/>
                <w:highlight w:val="none"/>
              </w:rPr>
            </w:pP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数码显微镜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 xml:space="preserve">液晶屏与机身一体式设计，机身上方设置明确提手，标配19V低压供电电源适配器, 仪器拆包装箱接上电源即可使用，无需再进行目镜、物镜及其他部件的组装； </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所有数据接口以及电源接口设置在仪器底座背面，仪器高度≤60cm，仪器净重≥7kg；</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显微镜拍照像素≥500万像素，录像分辨率≥1080P/30FPS，画面无拖尾及延迟现象，仪器本身可实现照片和视频回放功能，视频回放功能可实现快速播放或慢速播放；</w:t>
            </w:r>
          </w:p>
          <w:p>
            <w:pPr>
              <w:numPr>
                <w:ilvl w:val="0"/>
                <w:numId w:val="4"/>
              </w:numPr>
              <w:spacing w:line="400" w:lineRule="exact"/>
              <w:jc w:val="left"/>
              <w:rPr>
                <w:rFonts w:ascii="宋体" w:hAnsi="宋体" w:cs="宋体"/>
                <w:bCs/>
                <w:color w:val="0000FF"/>
                <w:szCs w:val="21"/>
                <w:highlight w:val="none"/>
              </w:rPr>
            </w:pPr>
            <w:r>
              <w:rPr>
                <w:rFonts w:hint="eastAsia" w:ascii="宋体" w:hAnsi="宋体" w:cs="宋体"/>
                <w:bCs/>
                <w:szCs w:val="21"/>
                <w:highlight w:val="none"/>
              </w:rPr>
              <w:t>▲≥10.1寸高清触摸液晶屏，屏幕分辨率≥1920×1200，水平旋转性能：中轴旋转角度270°，顺时针可转动180°，逆时针旋转90°, 屏幕转动时，双目观察部件及观察影像不变动，有限位功能，上下翻转角度可达180°；</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▲仪器内置Android8.1及以上操作系统，运行内存不少于2G，存储内存不少于8G，所拍摄的显微照片及视频可存储于仪器中，通过USB接口接入U盘时，数据优先存储于U盘中；</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▲具有生物显微镜功能及实体显微镜功能；具有在观察画面上进行标注的功能，可使用涂鸦、直线、圆形、文字等方式标注，完成后可直接保存图像；</w:t>
            </w:r>
          </w:p>
          <w:p>
            <w:pPr>
              <w:numPr>
                <w:ilvl w:val="0"/>
                <w:numId w:val="4"/>
              </w:numPr>
              <w:spacing w:line="400" w:lineRule="exact"/>
              <w:jc w:val="left"/>
              <w:rPr>
                <w:rFonts w:ascii="宋体" w:hAnsi="宋体" w:cs="宋体"/>
                <w:bCs/>
                <w:color w:val="0000FF"/>
                <w:szCs w:val="21"/>
                <w:highlight w:val="none"/>
              </w:rPr>
            </w:pPr>
            <w:r>
              <w:rPr>
                <w:rFonts w:hint="eastAsia" w:ascii="宋体" w:hAnsi="宋体" w:cs="宋体"/>
                <w:bCs/>
                <w:szCs w:val="21"/>
                <w:highlight w:val="none"/>
              </w:rPr>
              <w:t>数据接口：IEEE802.3标准RJ45接口，USB接口，同时支持WIFI功能；</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具有仪器坐标对比测量功能，配备外倾式三孔物镜转换器，生物显微镜物镜：无限远平场消色差4×、无限远平场消色差10×、无限远平场消色差40×（弹簧）；目镜：10X/Φ18mm；载物台：双层移动平台；聚光镜：插入式聚光镜；</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调焦机构：粗微动同轴调焦，左右两侧均有粗调与微调手轮，调焦行程（载物台升降行程）≥50mm，有防滑装置；</w:t>
            </w:r>
          </w:p>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内置LED底光源及LED侧光源；底座设有液晶显示调光系统，可通过按压式旋钮实现光源切换，亮度调整以及开关机，指示屏支持亮度级别显示、中文光源提示等功能。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17" w:name="OLE_LINK9"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电泳仪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四组输出，输出电压：2V～200V、输出电流：2mA～200mA，具有36V电压限制功能；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恒温震荡器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 xml:space="preserve">室温+5℃～60℃ ±1℃，容量：≥100mL锥形瓶25个或以上； </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水平电泳槽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聚碳酸脂注塑成型，凝胶托盘带有荧光标尺，具有开盖断电功能，凝胶板规格：≥60mm×60mm；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垂直电泳槽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 xml:space="preserve">聚碳酸脂注塑成型槽体，可实现原位制胶功能，凝胶板规格：≥75mm×83mm，同时可以两块凝胶电泳； </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凝胶色谱柱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w:t>
            </w:r>
            <w:r>
              <w:rPr>
                <w:highlight w:val="none"/>
              </w:rPr>
              <w:fldChar w:fldCharType="begin"/>
            </w:r>
            <w:r>
              <w:rPr>
                <w:highlight w:val="none"/>
              </w:rPr>
              <w:instrText xml:space="preserve"> HYPERLINK "https://m.baidu.com/s?word=%CE%A6&amp;sa=re_dqa_zy" \t "https://answer.baidu.com/answer/_self" </w:instrText>
            </w:r>
            <w:r>
              <w:rPr>
                <w:highlight w:val="none"/>
              </w:rPr>
              <w:fldChar w:fldCharType="separate"/>
            </w:r>
            <w:r>
              <w:rPr>
                <w:rFonts w:hint="eastAsia" w:ascii="宋体" w:hAnsi="宋体" w:cs="宋体"/>
                <w:bCs/>
                <w:kern w:val="0"/>
                <w:szCs w:val="21"/>
                <w:highlight w:val="none"/>
                <w:lang w:bidi="ar"/>
              </w:rPr>
              <w:t>Φ</w:t>
            </w:r>
            <w:r>
              <w:rPr>
                <w:rFonts w:hint="eastAsia" w:ascii="宋体" w:hAnsi="宋体" w:cs="宋体"/>
                <w:bCs/>
                <w:kern w:val="0"/>
                <w:szCs w:val="21"/>
                <w:highlight w:val="none"/>
                <w:lang w:bidi="ar"/>
              </w:rPr>
              <w:fldChar w:fldCharType="end"/>
            </w:r>
            <w:r>
              <w:rPr>
                <w:rFonts w:hint="eastAsia" w:ascii="宋体" w:hAnsi="宋体" w:cs="宋体"/>
                <w:bCs/>
                <w:kern w:val="0"/>
                <w:szCs w:val="21"/>
                <w:highlight w:val="none"/>
                <w:lang w:bidi="ar"/>
              </w:rPr>
              <w:t>16mm×500mm长PC管、进液管、出液管组成；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移液器架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可放置不小于5支移液器；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DNA电泳图谱观察仪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非紫外光源，观察凝胶面积≥100mm×100mm；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精油提取器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功率≥500W，功率可调，具有缺水断电功能，最大容积5L；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PCR仪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容量：≥30管；温度设计范图:0~100</w:t>
            </w:r>
            <w:r>
              <w:rPr>
                <w:rFonts w:hint="eastAsia" w:ascii="宋体" w:hAnsi="宋体" w:cs="宋体"/>
                <w:bCs/>
                <w:kern w:val="0"/>
                <w:szCs w:val="21"/>
                <w:highlight w:val="none"/>
                <w:vertAlign w:val="superscript"/>
                <w:lang w:bidi="ar"/>
              </w:rPr>
              <w:t>0</w:t>
            </w:r>
            <w:r>
              <w:rPr>
                <w:rFonts w:hint="eastAsia" w:ascii="宋体" w:hAnsi="宋体" w:cs="宋体"/>
                <w:bCs/>
                <w:kern w:val="0"/>
                <w:szCs w:val="21"/>
                <w:highlight w:val="none"/>
                <w:lang w:bidi="ar"/>
              </w:rPr>
              <w:t>C，温度准确性:30~100</w:t>
            </w:r>
            <w:r>
              <w:rPr>
                <w:rFonts w:hint="eastAsia" w:ascii="宋体" w:hAnsi="宋体" w:cs="宋体"/>
                <w:bCs/>
                <w:kern w:val="0"/>
                <w:szCs w:val="21"/>
                <w:highlight w:val="none"/>
                <w:vertAlign w:val="superscript"/>
                <w:lang w:bidi="ar"/>
              </w:rPr>
              <w:t>0</w:t>
            </w:r>
            <w:r>
              <w:rPr>
                <w:rFonts w:hint="eastAsia" w:ascii="宋体" w:hAnsi="宋体" w:cs="宋体"/>
                <w:bCs/>
                <w:kern w:val="0"/>
                <w:szCs w:val="21"/>
                <w:highlight w:val="none"/>
                <w:lang w:bidi="ar"/>
              </w:rPr>
              <w:t>C 为≤</w:t>
            </w:r>
            <w:r>
              <w:rPr>
                <w:rFonts w:hint="eastAsia" w:ascii="宋体" w:hAnsi="宋体" w:cs="宋体"/>
                <w:bCs/>
                <w:szCs w:val="21"/>
                <w:highlight w:val="none"/>
                <w:shd w:val="clear" w:color="auto" w:fill="FFFFFF"/>
              </w:rPr>
              <w:t>±</w:t>
            </w:r>
            <w:r>
              <w:rPr>
                <w:rFonts w:hint="eastAsia" w:ascii="宋体" w:hAnsi="宋体" w:cs="宋体"/>
                <w:bCs/>
                <w:kern w:val="0"/>
                <w:szCs w:val="21"/>
                <w:highlight w:val="none"/>
                <w:lang w:bidi="ar"/>
              </w:rPr>
              <w:t>0.5°C，温度准均匀:30~100</w:t>
            </w:r>
            <w:r>
              <w:rPr>
                <w:rFonts w:hint="eastAsia" w:ascii="宋体" w:hAnsi="宋体" w:cs="宋体"/>
                <w:bCs/>
                <w:kern w:val="0"/>
                <w:szCs w:val="21"/>
                <w:highlight w:val="none"/>
                <w:vertAlign w:val="superscript"/>
                <w:lang w:bidi="ar"/>
              </w:rPr>
              <w:t>0</w:t>
            </w:r>
            <w:r>
              <w:rPr>
                <w:rFonts w:hint="eastAsia" w:ascii="宋体" w:hAnsi="宋体" w:cs="宋体"/>
                <w:bCs/>
                <w:kern w:val="0"/>
                <w:szCs w:val="21"/>
                <w:highlight w:val="none"/>
                <w:lang w:bidi="ar"/>
              </w:rPr>
              <w:t>C 为≤</w:t>
            </w:r>
            <w:r>
              <w:rPr>
                <w:rFonts w:hint="eastAsia" w:ascii="宋体" w:hAnsi="宋体" w:cs="宋体"/>
                <w:bCs/>
                <w:szCs w:val="21"/>
                <w:highlight w:val="none"/>
                <w:shd w:val="clear" w:color="auto" w:fill="FFFFFF"/>
              </w:rPr>
              <w:t>±</w:t>
            </w:r>
            <w:r>
              <w:rPr>
                <w:rFonts w:hint="eastAsia" w:ascii="宋体" w:hAnsi="宋体" w:cs="宋体"/>
                <w:bCs/>
                <w:kern w:val="0"/>
                <w:szCs w:val="21"/>
                <w:highlight w:val="none"/>
                <w:lang w:bidi="ar"/>
              </w:rPr>
              <w:t>0.5°C，升降温速度:升温≥1.5°C 降温≥1°C，热盖温度:105</w:t>
            </w:r>
            <w:r>
              <w:rPr>
                <w:rFonts w:hint="eastAsia" w:ascii="宋体" w:hAnsi="宋体" w:cs="宋体"/>
                <w:bCs/>
                <w:kern w:val="0"/>
                <w:szCs w:val="21"/>
                <w:highlight w:val="none"/>
                <w:vertAlign w:val="superscript"/>
                <w:lang w:bidi="ar"/>
              </w:rPr>
              <w:t>0</w:t>
            </w:r>
            <w:r>
              <w:rPr>
                <w:rFonts w:hint="eastAsia" w:ascii="宋体" w:hAnsi="宋体" w:cs="宋体"/>
                <w:bCs/>
                <w:kern w:val="0"/>
                <w:szCs w:val="21"/>
                <w:highlight w:val="none"/>
                <w:lang w:bidi="ar"/>
              </w:rPr>
              <w:t>C，连续工作时间:不限；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DNA快速杂交仪</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w:t>
            </w:r>
            <w:r>
              <w:rPr>
                <w:rFonts w:hint="eastAsia" w:ascii="宋体" w:hAnsi="宋体" w:cs="宋体"/>
                <w:bCs/>
                <w:szCs w:val="21"/>
                <w:highlight w:val="none"/>
              </w:rPr>
              <w:t>350W，温控范围:环境温度+5℃~70℃可调，温度波动值:</w:t>
            </w:r>
            <w:r>
              <w:rPr>
                <w:rFonts w:hint="eastAsia" w:ascii="宋体" w:hAnsi="宋体" w:cs="宋体"/>
                <w:bCs/>
                <w:szCs w:val="21"/>
                <w:highlight w:val="none"/>
                <w:shd w:val="clear" w:color="auto" w:fill="FFFFFF"/>
              </w:rPr>
              <w:t>±</w:t>
            </w:r>
            <w:r>
              <w:rPr>
                <w:rFonts w:hint="eastAsia" w:ascii="宋体" w:hAnsi="宋体" w:cs="宋体"/>
                <w:bCs/>
                <w:szCs w:val="21"/>
                <w:highlight w:val="none"/>
              </w:rPr>
              <w:t>1℃，温度显示分辨率:0.1℃，温度均匀性:</w:t>
            </w:r>
            <w:r>
              <w:rPr>
                <w:rFonts w:hint="eastAsia" w:ascii="宋体" w:hAnsi="宋体" w:cs="宋体"/>
                <w:bCs/>
                <w:szCs w:val="21"/>
                <w:highlight w:val="none"/>
                <w:shd w:val="clear" w:color="auto" w:fill="FFFFFF"/>
              </w:rPr>
              <w:t>±</w:t>
            </w:r>
            <w:r>
              <w:rPr>
                <w:rFonts w:hint="eastAsia" w:ascii="宋体" w:hAnsi="宋体" w:cs="宋体"/>
                <w:bCs/>
                <w:szCs w:val="21"/>
                <w:highlight w:val="none"/>
              </w:rPr>
              <w:t>0.03℃，滚动式反应装置转速:0~20转/分可调；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纯水机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产水量：10L/h，水质符合GB 6682-1992三级；</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三角刮刀(涂布器)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生物实验废液处理装置</w:t>
            </w:r>
          </w:p>
        </w:tc>
        <w:tc>
          <w:tcPr>
            <w:tcW w:w="2866" w:type="pct"/>
            <w:vAlign w:val="center"/>
          </w:tcPr>
          <w:p>
            <w:pPr>
              <w:widowControl/>
              <w:numPr>
                <w:ilvl w:val="0"/>
                <w:numId w:val="4"/>
              </w:numPr>
              <w:spacing w:line="400" w:lineRule="exact"/>
              <w:jc w:val="left"/>
              <w:textAlignment w:val="top"/>
              <w:rPr>
                <w:rFonts w:ascii="宋体" w:hAnsi="宋体" w:cs="宋体"/>
                <w:bCs/>
                <w:szCs w:val="21"/>
                <w:highlight w:val="none"/>
              </w:rPr>
            </w:pPr>
            <w:r>
              <w:rPr>
                <w:rFonts w:hint="eastAsia" w:ascii="宋体" w:hAnsi="宋体" w:cs="宋体"/>
                <w:bCs/>
                <w:kern w:val="0"/>
                <w:szCs w:val="21"/>
                <w:highlight w:val="none"/>
                <w:lang w:bidi="ar"/>
              </w:rPr>
              <w:t>单次可处理废液不少于22L，双搅拌，带循环泵和过滤装置，对锰、铜、锌、铅、铬、银等金属离子污染物净化收集，对有机磷化合物、砷化物、BOD、COD等部分去除,可以直接排放；</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始祖鸟模型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始祖鸟化石及复原模型；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细胞膜模型</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细胞膜结构模型；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细胞膜组件</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细胞膜流动镶嵌模型组件模型；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染色体组件</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减数分裂中染色体变化模型组件模型；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DNA双螺旋结构模型组件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四种碱基、脱氧核糖、磷酸</w:t>
            </w:r>
            <w:r>
              <w:rPr>
                <w:rFonts w:hint="eastAsia" w:ascii="宋体" w:hAnsi="宋体" w:cs="宋体"/>
                <w:bCs/>
                <w:kern w:val="0"/>
                <w:szCs w:val="21"/>
                <w:highlight w:val="none"/>
                <w:lang w:bidi="ar"/>
              </w:rPr>
              <w:br w:type="textWrapping"/>
            </w:r>
            <w:r>
              <w:rPr>
                <w:rFonts w:hint="eastAsia" w:ascii="宋体" w:hAnsi="宋体" w:cs="宋体"/>
                <w:bCs/>
                <w:kern w:val="0"/>
                <w:szCs w:val="21"/>
                <w:highlight w:val="none"/>
                <w:lang w:bidi="ar"/>
              </w:rPr>
              <w:t>彼此分离（大号）模型；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细胞器结构模型</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线粒体、叶绿体、高尔基体和中心粒四种细胞器组成。线粒体示外膜、内膜、外室、内室、崎、基粒等结构。叶绿体示外膜、内膜、基质、基粒、基质片层、基粒片层等结构。高尔基体示扁平囊泡、形成面、分泌面、大泡、小泡及自分泌面离去的分泌泡等。中心粒示两个中心粒互成直角。九组微管环状排列，每组均由三个微管并排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玉米标本1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玉米穗，验证基因分离规律；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玉米标本2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玉米穗，验证基因自由组合规律；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玉米标本3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玉米穗，验证基因连锁与互换规律；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蚕豆叶下表皮装片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蚕豆叶下表皮装片；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植物细胞有丝分裂</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洋葱根尖纵切；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胞间连丝切片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胞间连丝切片；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黑藻叶装片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显示细胞核及叶绿体；</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酵母菌装片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酵母菌装片；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水绵装片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水绵装片；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大肠杆菌涂片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大肠杆菌涂片；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动物细胞有丝分裂切片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动物细胞有丝分裂(马蛔虫受精卵切片)；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草履虫装片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草履虫分裂生殖装片；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蝗虫精巢减数分裂切片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蝗虫精巢减数分裂切片；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蛙血涂片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蛙血涂片；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表皮细胞装片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蛙或蝾螈；</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骨骼肌纵横切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骨骼肌纵横切；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平滑肌分离装片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平滑肌分离装片；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心肌切片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心肌切片；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运动神经元装片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运动神经元装片；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胰腺切片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胰腺切片(示胰岛)；</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正常人染色体装片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正常人染色体装片；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DNA和RAN在细胞中的分布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DNA和RAN在细胞中的分布；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线粒体切片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线粒体切片；</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分子与细胞</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分子与细胞；</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遗传与进化</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遗传与进化；</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稳态与环境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稳态与环境；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生物技术实践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生物技术实践；</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生物科学与社会</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生物科学与社会；</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现代生物科技</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现代生物科技专题；</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量筒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容量瓶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移液管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毛细玻璃管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内径0.9mm-1.1mm，500根/盒；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10ml*10根/盒， 刻度试管；</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锥形瓶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蒸馏烧瓶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酒精灯</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干燥器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蒸馏水瓶</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3000mL；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冷凝器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直固，300mm；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漏斗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漏斗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90mm；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胶头滴管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15cm，带胶头；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比色管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广口瓶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细口瓶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白色，30mL；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白色，60mL；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棕色，30mL；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滴瓶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棕色，60mL；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试管夹</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适用于10ml试管；</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石棉网</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适用于酒精灯；</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医用纱布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200片/袋；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脱脂棉</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500g/包；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药匙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火柴</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老式，10盒/包；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洗耳球</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橡胶材质，不小于60ml；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培养皿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培养皿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φ120mm；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研钵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瓷,φ60mm；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PH计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电子显示；</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标签纸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蓝色大、中、小，100张/套；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标签纸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红色大、中、小，100张/套；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试管篮</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塑料篮带提手，45cm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*15cm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试管篮</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塑料篮，45.5cm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*34.5cm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*15.5cm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木质，六孔试管架；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尖头镊子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不锈钢；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单面刀片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100片/盒；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双面刀片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100片/盒；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bottom"/>
          </w:tcPr>
          <w:p>
            <w:pPr>
              <w:widowControl/>
              <w:spacing w:line="400" w:lineRule="exact"/>
              <w:jc w:val="center"/>
              <w:textAlignment w:val="bottom"/>
              <w:rPr>
                <w:rFonts w:ascii="宋体" w:hAnsi="宋体" w:cs="宋体"/>
                <w:bCs/>
                <w:kern w:val="0"/>
                <w:szCs w:val="21"/>
                <w:highlight w:val="none"/>
              </w:rPr>
            </w:pPr>
            <w:r>
              <w:rPr>
                <w:rFonts w:hint="eastAsia" w:ascii="宋体" w:hAnsi="宋体" w:cs="宋体"/>
                <w:bCs/>
                <w:kern w:val="0"/>
                <w:szCs w:val="21"/>
                <w:highlight w:val="none"/>
                <w:lang w:bidi="ar"/>
              </w:rPr>
              <w:t>氯化钠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试剂500克/瓶，无水；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bottom"/>
          </w:tcPr>
          <w:p>
            <w:pPr>
              <w:widowControl/>
              <w:spacing w:line="400" w:lineRule="exact"/>
              <w:jc w:val="center"/>
              <w:textAlignment w:val="bottom"/>
              <w:rPr>
                <w:rFonts w:ascii="宋体" w:hAnsi="宋体" w:cs="宋体"/>
                <w:bCs/>
                <w:kern w:val="0"/>
                <w:szCs w:val="21"/>
                <w:highlight w:val="none"/>
              </w:rPr>
            </w:pPr>
            <w:r>
              <w:rPr>
                <w:rFonts w:hint="eastAsia" w:ascii="宋体" w:hAnsi="宋体" w:cs="宋体"/>
                <w:bCs/>
                <w:kern w:val="0"/>
                <w:szCs w:val="21"/>
                <w:highlight w:val="none"/>
                <w:lang w:bidi="ar"/>
              </w:rPr>
              <w:t>三氯化铁</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碘化钾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试剂500克/瓶，无水；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硫酸铜</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试剂500克/瓶，无水；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碳酸氢钠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二氯苯氧乙酸（2,4-D）</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吲哚乙酸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氢氧化钙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bottom"/>
          </w:tcPr>
          <w:p>
            <w:pPr>
              <w:widowControl/>
              <w:spacing w:line="400" w:lineRule="exact"/>
              <w:jc w:val="center"/>
              <w:textAlignment w:val="bottom"/>
              <w:rPr>
                <w:rFonts w:ascii="宋体" w:hAnsi="宋体" w:cs="宋体"/>
                <w:bCs/>
                <w:kern w:val="0"/>
                <w:szCs w:val="21"/>
                <w:highlight w:val="none"/>
              </w:rPr>
            </w:pPr>
            <w:r>
              <w:rPr>
                <w:rFonts w:hint="eastAsia" w:ascii="宋体" w:hAnsi="宋体" w:cs="宋体"/>
                <w:bCs/>
                <w:kern w:val="0"/>
                <w:szCs w:val="21"/>
                <w:highlight w:val="none"/>
                <w:lang w:bidi="ar"/>
              </w:rPr>
              <w:t>氢氧化铝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bottom"/>
          </w:tcPr>
          <w:p>
            <w:pPr>
              <w:widowControl/>
              <w:spacing w:line="400" w:lineRule="exact"/>
              <w:jc w:val="center"/>
              <w:textAlignment w:val="bottom"/>
              <w:rPr>
                <w:rFonts w:ascii="宋体" w:hAnsi="宋体" w:cs="宋体"/>
                <w:bCs/>
                <w:kern w:val="0"/>
                <w:szCs w:val="21"/>
                <w:highlight w:val="none"/>
              </w:rPr>
            </w:pPr>
            <w:r>
              <w:rPr>
                <w:rFonts w:hint="eastAsia" w:ascii="宋体" w:hAnsi="宋体" w:cs="宋体"/>
                <w:bCs/>
                <w:kern w:val="0"/>
                <w:szCs w:val="21"/>
                <w:highlight w:val="none"/>
                <w:lang w:bidi="ar"/>
              </w:rPr>
              <w:t>氯化镉</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碳酸钙</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二氧化硅</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无水乙酸钠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柠檬酸钠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琼脂</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葡萄糖</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蔗糖</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可溶性淀粉</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无水乙醇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95%工业酒精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对氨基苯磺酸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试剂100克/瓶；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N-1-萘基乙二胺盐酸盐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试剂10克/瓶；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海藻酸钠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二苯胺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0.1%浓度 50ml/瓶；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果胶酶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试剂100克/瓶；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α-淀粉酶</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试剂500克/瓶；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醋酸菌</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试剂20克/袋；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酵母菌</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试剂20克/袋；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品红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pH广范围试纸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1～14；</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亚甲基蓝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定性滤纸</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定性滤纸；</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胭脂红(洋红)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龙胆紫</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曙红B(伊红B)</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美蓝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酚红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苏丹Ⅲ</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试剂25克/瓶；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甲基绿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吡罗红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健那绿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考马斯亮蓝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溴麝香草酚蓝</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载玻片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玻璃制品，每盒50片，每片尺寸为：76mm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*25mm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，壁厚不低于0.8mm；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盖玻片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玻璃制品，每盒不少于30片，每片尺寸为：18mm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*18mm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，壁厚0.15mm；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吸水纸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100张/盒；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红色30cm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*31cm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绿色30cm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*31cm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白色30cm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*31cm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水瓢</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泡菜坛</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玻璃加厚，可装水10斤；</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试管刷</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适合10ml试管，2个/套；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烧杯刷</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适合1000ml烧杯，2只装；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洗洁精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洗洁精，≥1.5kg；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接种棒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由接种杆和合金金属丝组成，手柄长86mm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，采用耐高温塑料材质制成，上接长100mm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的铜制连接杆，附带螺旋式锁针孔，合金金属丝长度不低于60mm；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PH试纸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 xml:space="preserve">PH 1-14精密测酸碱值（80条/本，20本/盒）;  </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玻璃鱼缸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主体规格:100cm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*70cm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*50cm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(长*宽高*)，五面玻璃厚度7cm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(提前密封)、玻璃缸上盖板：亚克力盖板(5cm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 1块。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硝酸铵(NH</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NO</w:t>
            </w:r>
            <w:r>
              <w:rPr>
                <w:rFonts w:hint="eastAsia" w:ascii="宋体" w:hAnsi="宋体" w:cs="宋体"/>
                <w:bCs/>
                <w:kern w:val="0"/>
                <w:szCs w:val="21"/>
                <w:highlight w:val="none"/>
                <w:vertAlign w:val="subscript"/>
                <w:lang w:bidi="ar"/>
              </w:rPr>
              <w:t>3</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硝酸钾(KNO</w:t>
            </w:r>
            <w:r>
              <w:rPr>
                <w:rFonts w:hint="eastAsia" w:ascii="宋体" w:hAnsi="宋体" w:cs="宋体"/>
                <w:bCs/>
                <w:kern w:val="0"/>
                <w:szCs w:val="21"/>
                <w:highlight w:val="none"/>
                <w:vertAlign w:val="subscript"/>
                <w:lang w:bidi="ar"/>
              </w:rPr>
              <w:t>3</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氯化钙(CaCl</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·2H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硫酸镁(MgSO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磷酸二氢钾(KH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PO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硼酸(H</w:t>
            </w:r>
            <w:r>
              <w:rPr>
                <w:rFonts w:hint="eastAsia" w:ascii="宋体" w:hAnsi="宋体" w:cs="宋体"/>
                <w:bCs/>
                <w:kern w:val="0"/>
                <w:szCs w:val="21"/>
                <w:highlight w:val="none"/>
                <w:vertAlign w:val="subscript"/>
                <w:lang w:bidi="ar"/>
              </w:rPr>
              <w:t>3</w:t>
            </w:r>
            <w:r>
              <w:rPr>
                <w:rFonts w:hint="eastAsia" w:ascii="宋体" w:hAnsi="宋体" w:cs="宋体"/>
                <w:bCs/>
                <w:kern w:val="0"/>
                <w:szCs w:val="21"/>
                <w:highlight w:val="none"/>
                <w:lang w:bidi="ar"/>
              </w:rPr>
              <w:t>BO</w:t>
            </w:r>
            <w:r>
              <w:rPr>
                <w:rFonts w:hint="eastAsia" w:ascii="宋体" w:hAnsi="宋体" w:cs="宋体"/>
                <w:bCs/>
                <w:kern w:val="0"/>
                <w:szCs w:val="21"/>
                <w:highlight w:val="none"/>
                <w:vertAlign w:val="subscript"/>
                <w:lang w:bidi="ar"/>
              </w:rPr>
              <w:t>3</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硫酸锰(MnSO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·4H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硫酸锌(ZnSO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硫酸铜(CuSO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·5H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氯化钴(CoCl</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·6H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乙二胺四乙酸二钠(Na</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-EDTA)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硫酸铁(FeSO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肌醇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烟酸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吡哆辛盐酸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盐酸硫胺(盐酸硫胺素)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甘氨酸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6-苄基腺嘌呤(6-BA)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萘乙酸(NAA)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赤霉酸(GA3)</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吲哚丁酸(IBA)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吲哚乙酸(IAA)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组织培养基(MS)试剂；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牛肉膏</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牛肉膏蛋白胨培养基试剂；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spacing w:line="400" w:lineRule="exact"/>
              <w:jc w:val="center"/>
              <w:rPr>
                <w:rFonts w:ascii="宋体" w:hAnsi="宋体" w:cs="宋体"/>
                <w:bCs/>
                <w:kern w:val="0"/>
                <w:szCs w:val="21"/>
                <w:highlight w:val="none"/>
              </w:rPr>
            </w:pPr>
            <w:r>
              <w:rPr>
                <w:rFonts w:hint="eastAsia" w:ascii="宋体" w:hAnsi="宋体" w:cs="宋体"/>
                <w:bCs/>
                <w:szCs w:val="21"/>
                <w:highlight w:val="none"/>
              </w:rPr>
              <w:t>蛋白胨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牛肉膏蛋白胨培养基试剂；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磷酸二氢钾(KH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PO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尿素培养基试剂；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磷酸氢二钠(Na</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HPO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尿素培养基试剂；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硫酸镁(MgSO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尿素培养基试剂；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脲</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尿素培养基试剂；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纤维素粉</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硝酸钠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磷酸氢二钠(Na</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HPO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磷酸二氢钾(KH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PO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硫酸镁(MgSO</w:t>
            </w:r>
            <w:r>
              <w:rPr>
                <w:rFonts w:hint="eastAsia" w:ascii="宋体" w:hAnsi="宋体" w:cs="宋体"/>
                <w:bCs/>
                <w:kern w:val="0"/>
                <w:szCs w:val="21"/>
                <w:highlight w:val="none"/>
                <w:vertAlign w:val="subscript"/>
                <w:lang w:bidi="ar"/>
              </w:rPr>
              <w:t>4</w:t>
            </w:r>
            <w:r>
              <w:rPr>
                <w:rFonts w:hint="eastAsia" w:ascii="宋体" w:hAnsi="宋体" w:cs="宋体"/>
                <w:bCs/>
                <w:kern w:val="0"/>
                <w:szCs w:val="21"/>
                <w:highlight w:val="none"/>
                <w:lang w:bidi="ar"/>
              </w:rPr>
              <w:t>·7H</w:t>
            </w:r>
            <w:r>
              <w:rPr>
                <w:rFonts w:hint="eastAsia" w:ascii="宋体" w:hAnsi="宋体" w:cs="宋体"/>
                <w:bCs/>
                <w:kern w:val="0"/>
                <w:szCs w:val="21"/>
                <w:highlight w:val="none"/>
                <w:vertAlign w:val="subscript"/>
                <w:lang w:bidi="ar"/>
              </w:rPr>
              <w:t>2</w:t>
            </w:r>
            <w:r>
              <w:rPr>
                <w:rFonts w:hint="eastAsia" w:ascii="宋体" w:hAnsi="宋体" w:cs="宋体"/>
                <w:bCs/>
                <w:kern w:val="0"/>
                <w:szCs w:val="21"/>
                <w:highlight w:val="none"/>
                <w:lang w:bidi="ar"/>
              </w:rPr>
              <w:t>O)</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氯化钾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酵母浸膏</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水解酪素</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羧甲基纤维素钠(CMC-Na)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丙烯酰胺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N，N-甲叉双丙烯酰胺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十二烷基磺酸钠(SDS)</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过硫酸铵</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三羟甲基氨基甲烷(Tris)</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四甲基乙二胺(TEMED)</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血红蛋白提取及分离试剂；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植物组织培养基试剂盒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MS培养基，附适用于月季或菊花生根和发芽的相关激素；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牛肉膏蛋白胨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牛肉膏蛋白胨培养基；</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分离及鉴定土壤中能分解尿素的细菌</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分离及鉴定土壤中能分解尿素的细菌培养基；</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纤维素分解菌培养及鉴别</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纤维素分解菌培养及鉴别培养基；</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血红蛋白提取及分离</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血红蛋白提取及分离试剂盒；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PCR扩增实验</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PCR全套试剂；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琼脂糖凝胶电泳实验试剂盒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电泳全套试剂；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转基因植物DNA杂交鉴定试剂盒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大豆或其他植物；</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十字螺丝刀</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φ6mm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，长150mm</w:t>
            </w:r>
            <w:r>
              <w:rPr>
                <w:rFonts w:hint="eastAsia" w:ascii="宋体" w:hAnsi="宋体" w:cs="宋体"/>
                <w:bCs/>
                <w:szCs w:val="21"/>
                <w:highlight w:val="none"/>
                <w:shd w:val="clear" w:color="auto" w:fill="FFFFFF"/>
              </w:rPr>
              <w:t>±10%；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木工锤</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重≥0.25kg；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工作服</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防酸碱；</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洗手液</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≥500g/瓶；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消毒湿巾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50片/包；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围棋棋子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玻璃，直径1.3cm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,361粒，含围棋盒；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毛巾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纯棉，快速吸水；</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护目镜</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侧面完全遮挡，耐酸碱，抗冲击；</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防毒面罩</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防尘防毒气；</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一次性PVC手套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100只/盒；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洗眼器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塑料压力洗眼器，容量≥5L；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医用棉签</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10包/盒；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简易急救箱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由双氧水、碘伏、甲紫溶液、纱布、脱脂棉、棉签、创口贴、胶带等组成，分层药箱装；</w:t>
            </w:r>
          </w:p>
        </w:tc>
        <w:tc>
          <w:tcPr>
            <w:tcW w:w="554" w:type="pct"/>
            <w:vAlign w:val="center"/>
          </w:tcPr>
          <w:p>
            <w:pPr>
              <w:widowControl/>
              <w:spacing w:line="400" w:lineRule="exact"/>
              <w:jc w:val="center"/>
              <w:rPr>
                <w:rFonts w:ascii="宋体" w:hAnsi="宋体" w:cs="宋体"/>
                <w:bCs/>
                <w:kern w:val="0"/>
                <w:szCs w:val="21"/>
                <w:highlight w:val="none"/>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spacing w:line="400" w:lineRule="exact"/>
              <w:jc w:val="center"/>
              <w:rPr>
                <w:rFonts w:ascii="宋体" w:hAnsi="宋体" w:cs="宋体"/>
                <w:bCs/>
                <w:kern w:val="0"/>
                <w:szCs w:val="21"/>
                <w:highlight w:val="none"/>
              </w:rPr>
            </w:pPr>
            <w:r>
              <w:rPr>
                <w:rFonts w:hint="eastAsia" w:ascii="宋体" w:hAnsi="宋体" w:cs="宋体"/>
                <w:bCs/>
                <w:szCs w:val="21"/>
                <w:highlight w:val="none"/>
              </w:rPr>
              <w:t>生物技术与工程实验箱</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箱体≥465mm长×355mm宽×205mm高，壁厚≥3mm，ABS阻燃性材料一次成型，手提翻盖式，箱体四周圆润过渡角不伤手，箱体顶部及旋盖上有方向指示标识，箱盖把手周围斜切面过渡平滑，箱体背部采用蜂巢式加强筋设计，箱盖背面设有装箱清单卡片槽，内部采用珍珠棉隔离填充材料，每种实验器材有相对应插槽。</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10ml量筒、100ml容量瓶、50ml量筒、250ml玻璃烧杯、定量吸球、100ml玻璃烧杯、250ml锥形瓶、比色管、玻璃漏斗、胶头滴管、φ15试管、研钵、棉球、培养皿、硅胶管、尼龙布、滤纸、气球、微量离心管、止水夹、长直角玻璃导管、单孔硅胶塞、无孔硅胶塞、毛细吸管、玻璃棒、温度计、药匙、5ml移液管、玻璃三通管、PH试纸、吸水纸、纱布等组成。</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可模拟演示实验不少于：DNA的粗提取与鉴定；绿叶中色素的提取和分离；发酵现象的观察及发酵原理的探究；制作泡菜并检测亚硝酸盐含量；蔬菜在腌制过程中维生素C含量的变化；果汁发酵制作果酒和果醋；DNA片段的扩增及电泳鉴定；菊花的组织培养；胡萝卜的组织培养；月季的花药培养；天竺葵的组织培养；用植物细胞工程快速繁殖芦荟等。</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4"/>
            <w:vAlign w:val="center"/>
          </w:tcPr>
          <w:p>
            <w:pPr>
              <w:spacing w:line="400" w:lineRule="exact"/>
              <w:jc w:val="center"/>
              <w:rPr>
                <w:rFonts w:hint="eastAsia" w:ascii="宋体" w:hAnsi="宋体" w:cs="宋体"/>
                <w:bCs/>
                <w:szCs w:val="21"/>
                <w:highlight w:val="none"/>
              </w:rPr>
            </w:pPr>
            <w:r>
              <w:rPr>
                <w:rFonts w:hint="eastAsia" w:ascii="宋体" w:hAnsi="宋体" w:cs="宋体"/>
                <w:bCs/>
                <w:szCs w:val="21"/>
                <w:highlight w:val="none"/>
              </w:rPr>
              <w:t>三、物理部分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18" w:name="OLE_LINK8"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纸带打点式轨道小车</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车拖纸带打点式，由轨道、小车、砝码桶、固定架、释放装置、滑轮及小车捕捉器等组成，轨道长900mm</w:t>
            </w:r>
            <w:r>
              <w:rPr>
                <w:rFonts w:hint="eastAsia" w:ascii="宋体" w:hAnsi="宋体" w:cs="宋体"/>
                <w:bCs/>
                <w:szCs w:val="21"/>
                <w:highlight w:val="none"/>
                <w:shd w:val="clear" w:color="auto" w:fill="FFFFFF"/>
              </w:rPr>
              <w:t>±10%</w:t>
            </w:r>
            <w:r>
              <w:rPr>
                <w:rFonts w:hint="eastAsia" w:ascii="宋体" w:hAnsi="宋体" w:cs="宋体"/>
                <w:bCs/>
                <w:szCs w:val="21"/>
                <w:highlight w:val="none"/>
              </w:rPr>
              <w:t>，小车轨道外边宽度54mm</w:t>
            </w:r>
            <w:r>
              <w:rPr>
                <w:rFonts w:hint="eastAsia" w:ascii="宋体" w:hAnsi="宋体" w:cs="宋体"/>
                <w:bCs/>
                <w:szCs w:val="21"/>
                <w:highlight w:val="none"/>
                <w:shd w:val="clear" w:color="auto" w:fill="FFFFFF"/>
              </w:rPr>
              <w:t>±10%</w:t>
            </w:r>
            <w:r>
              <w:rPr>
                <w:rFonts w:hint="eastAsia" w:ascii="宋体" w:hAnsi="宋体" w:cs="宋体"/>
                <w:bCs/>
                <w:szCs w:val="21"/>
                <w:highlight w:val="none"/>
              </w:rPr>
              <w:t>，小车质量200g</w:t>
            </w:r>
            <w:r>
              <w:rPr>
                <w:rFonts w:hint="eastAsia" w:ascii="宋体" w:hAnsi="宋体" w:cs="宋体"/>
                <w:bCs/>
                <w:szCs w:val="21"/>
                <w:highlight w:val="none"/>
                <w:shd w:val="clear" w:color="auto" w:fill="FFFFFF"/>
              </w:rPr>
              <w:t>±10%</w:t>
            </w:r>
            <w:r>
              <w:rPr>
                <w:rFonts w:hint="eastAsia" w:ascii="宋体" w:hAnsi="宋体" w:cs="宋体"/>
                <w:bCs/>
                <w:szCs w:val="21"/>
                <w:highlight w:val="none"/>
              </w:rPr>
              <w:t>，放砝码槽尺寸57mm</w:t>
            </w:r>
            <w:r>
              <w:rPr>
                <w:rFonts w:hint="eastAsia" w:ascii="宋体" w:hAnsi="宋体" w:cs="宋体"/>
                <w:bCs/>
                <w:szCs w:val="21"/>
                <w:highlight w:val="none"/>
                <w:shd w:val="clear" w:color="auto" w:fill="FFFFFF"/>
              </w:rPr>
              <w:t>±10%</w:t>
            </w:r>
            <w:r>
              <w:rPr>
                <w:rFonts w:hint="eastAsia" w:ascii="宋体" w:hAnsi="宋体" w:cs="宋体"/>
                <w:bCs/>
                <w:szCs w:val="21"/>
                <w:highlight w:val="none"/>
              </w:rPr>
              <w:t>*51mm</w:t>
            </w:r>
            <w:r>
              <w:rPr>
                <w:rFonts w:hint="eastAsia" w:ascii="宋体" w:hAnsi="宋体" w:cs="宋体"/>
                <w:bCs/>
                <w:szCs w:val="21"/>
                <w:highlight w:val="none"/>
                <w:shd w:val="clear" w:color="auto" w:fill="FFFFFF"/>
              </w:rPr>
              <w:t>±10%</w:t>
            </w:r>
            <w:r>
              <w:rPr>
                <w:rFonts w:hint="eastAsia" w:ascii="宋体" w:hAnsi="宋体" w:cs="宋体"/>
                <w:bCs/>
                <w:szCs w:val="21"/>
                <w:highlight w:val="none"/>
              </w:rPr>
              <w:t>*18mm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打点式轨道小车</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轨道打点式，由轨道、小车、砝码桶、固定架、释放装置、滑轮及小车捕捉器等组成，轨道长900mm</w:t>
            </w:r>
            <w:r>
              <w:rPr>
                <w:rFonts w:hint="eastAsia" w:ascii="宋体" w:hAnsi="宋体" w:cs="宋体"/>
                <w:bCs/>
                <w:szCs w:val="21"/>
                <w:highlight w:val="none"/>
                <w:shd w:val="clear" w:color="auto" w:fill="FFFFFF"/>
              </w:rPr>
              <w:t>±10%</w:t>
            </w:r>
            <w:r>
              <w:rPr>
                <w:rFonts w:hint="eastAsia" w:ascii="宋体" w:hAnsi="宋体" w:cs="宋体"/>
                <w:bCs/>
                <w:szCs w:val="21"/>
                <w:highlight w:val="none"/>
              </w:rPr>
              <w:t>，小车轨道外边宽度54mm</w:t>
            </w:r>
            <w:r>
              <w:rPr>
                <w:rFonts w:hint="eastAsia" w:ascii="宋体" w:hAnsi="宋体" w:cs="宋体"/>
                <w:bCs/>
                <w:szCs w:val="21"/>
                <w:highlight w:val="none"/>
                <w:shd w:val="clear" w:color="auto" w:fill="FFFFFF"/>
              </w:rPr>
              <w:t>±10%</w:t>
            </w:r>
            <w:r>
              <w:rPr>
                <w:rFonts w:hint="eastAsia" w:ascii="宋体" w:hAnsi="宋体" w:cs="宋体"/>
                <w:bCs/>
                <w:szCs w:val="21"/>
                <w:highlight w:val="none"/>
              </w:rPr>
              <w:t>，小车质量200g</w:t>
            </w:r>
            <w:r>
              <w:rPr>
                <w:rFonts w:hint="eastAsia" w:ascii="宋体" w:hAnsi="宋体" w:cs="宋体"/>
                <w:bCs/>
                <w:szCs w:val="21"/>
                <w:highlight w:val="none"/>
                <w:shd w:val="clear" w:color="auto" w:fill="FFFFFF"/>
              </w:rPr>
              <w:t>±10%</w:t>
            </w:r>
            <w:r>
              <w:rPr>
                <w:rFonts w:hint="eastAsia" w:ascii="宋体" w:hAnsi="宋体" w:cs="宋体"/>
                <w:bCs/>
                <w:szCs w:val="21"/>
                <w:highlight w:val="none"/>
              </w:rPr>
              <w:t>，放砝码槽尺寸57mm</w:t>
            </w:r>
            <w:r>
              <w:rPr>
                <w:rFonts w:hint="eastAsia" w:ascii="宋体" w:hAnsi="宋体" w:cs="宋体"/>
                <w:bCs/>
                <w:szCs w:val="21"/>
                <w:highlight w:val="none"/>
                <w:shd w:val="clear" w:color="auto" w:fill="FFFFFF"/>
              </w:rPr>
              <w:t>±10%</w:t>
            </w:r>
            <w:r>
              <w:rPr>
                <w:rFonts w:hint="eastAsia" w:ascii="宋体" w:hAnsi="宋体" w:cs="宋体"/>
                <w:bCs/>
                <w:szCs w:val="21"/>
                <w:highlight w:val="none"/>
              </w:rPr>
              <w:t>*51mm</w:t>
            </w:r>
            <w:r>
              <w:rPr>
                <w:rFonts w:hint="eastAsia" w:ascii="宋体" w:hAnsi="宋体" w:cs="宋体"/>
                <w:bCs/>
                <w:szCs w:val="21"/>
                <w:highlight w:val="none"/>
                <w:shd w:val="clear" w:color="auto" w:fill="FFFFFF"/>
              </w:rPr>
              <w:t>±10%</w:t>
            </w:r>
            <w:r>
              <w:rPr>
                <w:rFonts w:hint="eastAsia" w:ascii="宋体" w:hAnsi="宋体" w:cs="宋体"/>
                <w:bCs/>
                <w:szCs w:val="21"/>
                <w:highlight w:val="none"/>
              </w:rPr>
              <w:t>*18mm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斜面小车</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由斜面板、小车、支撑杆、摩擦块、砝码桶组成；斜面板外形尺寸：815mm</w:t>
            </w:r>
            <w:r>
              <w:rPr>
                <w:rFonts w:hint="eastAsia" w:ascii="宋体" w:hAnsi="宋体" w:cs="宋体"/>
                <w:bCs/>
                <w:szCs w:val="21"/>
                <w:highlight w:val="none"/>
                <w:shd w:val="clear" w:color="auto" w:fill="FFFFFF"/>
              </w:rPr>
              <w:t>±10%</w:t>
            </w:r>
            <w:r>
              <w:rPr>
                <w:rFonts w:hint="eastAsia" w:ascii="宋体" w:hAnsi="宋体" w:cs="宋体"/>
                <w:bCs/>
                <w:szCs w:val="21"/>
                <w:highlight w:val="none"/>
              </w:rPr>
              <w:t>×100mm</w:t>
            </w:r>
            <w:r>
              <w:rPr>
                <w:rFonts w:hint="eastAsia" w:ascii="宋体" w:hAnsi="宋体" w:cs="宋体"/>
                <w:bCs/>
                <w:szCs w:val="21"/>
                <w:highlight w:val="none"/>
                <w:shd w:val="clear" w:color="auto" w:fill="FFFFFF"/>
              </w:rPr>
              <w:t>±10%</w:t>
            </w:r>
            <w:r>
              <w:rPr>
                <w:rFonts w:hint="eastAsia" w:ascii="宋体" w:hAnsi="宋体" w:cs="宋体"/>
                <w:bCs/>
                <w:szCs w:val="21"/>
                <w:highlight w:val="none"/>
              </w:rPr>
              <w:t>×20mm</w:t>
            </w:r>
            <w:r>
              <w:rPr>
                <w:rFonts w:hint="eastAsia" w:ascii="宋体" w:hAnsi="宋体" w:cs="宋体"/>
                <w:bCs/>
                <w:szCs w:val="21"/>
                <w:highlight w:val="none"/>
                <w:shd w:val="clear" w:color="auto" w:fill="FFFFFF"/>
              </w:rPr>
              <w:t>±10%</w:t>
            </w:r>
            <w:r>
              <w:rPr>
                <w:rFonts w:hint="eastAsia" w:ascii="宋体" w:hAnsi="宋体" w:cs="宋体"/>
                <w:bCs/>
                <w:szCs w:val="21"/>
                <w:highlight w:val="none"/>
              </w:rPr>
              <w:t>，档条宽15mm</w:t>
            </w:r>
            <w:r>
              <w:rPr>
                <w:rFonts w:hint="eastAsia" w:ascii="宋体" w:hAnsi="宋体" w:cs="宋体"/>
                <w:bCs/>
                <w:szCs w:val="21"/>
                <w:highlight w:val="none"/>
                <w:shd w:val="clear" w:color="auto" w:fill="FFFFFF"/>
              </w:rPr>
              <w:t>±10%</w:t>
            </w:r>
            <w:r>
              <w:rPr>
                <w:rFonts w:hint="eastAsia" w:ascii="宋体" w:hAnsi="宋体" w:cs="宋体"/>
                <w:bCs/>
                <w:szCs w:val="21"/>
                <w:highlight w:val="none"/>
              </w:rPr>
              <w:t>、高14mm</w:t>
            </w:r>
            <w:r>
              <w:rPr>
                <w:rFonts w:hint="eastAsia" w:ascii="宋体" w:hAnsi="宋体" w:cs="宋体"/>
                <w:bCs/>
                <w:szCs w:val="21"/>
                <w:highlight w:val="none"/>
                <w:shd w:val="clear" w:color="auto" w:fill="FFFFFF"/>
              </w:rPr>
              <w:t>±10%</w:t>
            </w:r>
            <w:r>
              <w:rPr>
                <w:rFonts w:hint="eastAsia" w:ascii="宋体" w:hAnsi="宋体" w:cs="宋体"/>
                <w:bCs/>
                <w:szCs w:val="21"/>
                <w:highlight w:val="none"/>
              </w:rPr>
              <w:t>，标尺全长800mm</w:t>
            </w:r>
            <w:r>
              <w:rPr>
                <w:rFonts w:hint="eastAsia" w:ascii="宋体" w:hAnsi="宋体" w:cs="宋体"/>
                <w:bCs/>
                <w:szCs w:val="21"/>
                <w:highlight w:val="none"/>
                <w:shd w:val="clear" w:color="auto" w:fill="FFFFFF"/>
              </w:rPr>
              <w:t>±10%</w:t>
            </w:r>
            <w:r>
              <w:rPr>
                <w:rFonts w:hint="eastAsia" w:ascii="宋体" w:hAnsi="宋体" w:cs="宋体"/>
                <w:bCs/>
                <w:szCs w:val="21"/>
                <w:highlight w:val="none"/>
              </w:rPr>
              <w:t>，累计误差不超过2mm</w:t>
            </w:r>
            <w:r>
              <w:rPr>
                <w:rFonts w:hint="eastAsia" w:ascii="宋体" w:hAnsi="宋体" w:cs="宋体"/>
                <w:bCs/>
                <w:szCs w:val="21"/>
                <w:highlight w:val="none"/>
                <w:shd w:val="clear" w:color="auto" w:fill="FFFFFF"/>
              </w:rPr>
              <w:t>±10%</w:t>
            </w:r>
            <w:r>
              <w:rPr>
                <w:rFonts w:hint="eastAsia" w:ascii="宋体" w:hAnsi="宋体" w:cs="宋体"/>
                <w:bCs/>
                <w:szCs w:val="21"/>
                <w:highlight w:val="none"/>
              </w:rPr>
              <w:t>，最小分度值10mm</w:t>
            </w:r>
            <w:r>
              <w:rPr>
                <w:rFonts w:hint="eastAsia" w:ascii="宋体" w:hAnsi="宋体" w:cs="宋体"/>
                <w:bCs/>
                <w:szCs w:val="21"/>
                <w:highlight w:val="none"/>
                <w:shd w:val="clear" w:color="auto" w:fill="FFFFFF"/>
              </w:rPr>
              <w:t>±10%</w:t>
            </w:r>
            <w:r>
              <w:rPr>
                <w:rFonts w:hint="eastAsia" w:ascii="宋体" w:hAnsi="宋体" w:cs="宋体"/>
                <w:bCs/>
                <w:szCs w:val="21"/>
                <w:highlight w:val="none"/>
              </w:rPr>
              <w:t>，其“0”位与挡条内侧边线齐平，刻线和数字清晰，安装支撑杆孔直径为6mm</w:t>
            </w:r>
            <w:r>
              <w:rPr>
                <w:rFonts w:hint="eastAsia" w:ascii="宋体" w:hAnsi="宋体" w:cs="宋体"/>
                <w:bCs/>
                <w:szCs w:val="21"/>
                <w:highlight w:val="none"/>
                <w:shd w:val="clear" w:color="auto" w:fill="FFFFFF"/>
              </w:rPr>
              <w:t>±10%</w:t>
            </w:r>
            <w:r>
              <w:rPr>
                <w:rFonts w:hint="eastAsia" w:ascii="宋体" w:hAnsi="宋体" w:cs="宋体"/>
                <w:bCs/>
                <w:szCs w:val="21"/>
                <w:highlight w:val="none"/>
              </w:rPr>
              <w:t>，深30mm－40mm，孔与支撑杆配合松紧适度，滑轮倾角可调，应能承受0.25N·m的转动力矩而不滑动，支撑杆总长150mm</w:t>
            </w:r>
            <w:r>
              <w:rPr>
                <w:rFonts w:hint="eastAsia" w:ascii="宋体" w:hAnsi="宋体" w:cs="宋体"/>
                <w:bCs/>
                <w:szCs w:val="21"/>
                <w:highlight w:val="none"/>
                <w:shd w:val="clear" w:color="auto" w:fill="FFFFFF"/>
              </w:rPr>
              <w:t>±10%</w:t>
            </w:r>
            <w:r>
              <w:rPr>
                <w:rFonts w:hint="eastAsia" w:ascii="宋体" w:hAnsi="宋体" w:cs="宋体"/>
                <w:bCs/>
                <w:szCs w:val="21"/>
                <w:highlight w:val="none"/>
              </w:rPr>
              <w:t>，摩擦块外形尺寸：100mm</w:t>
            </w:r>
            <w:r>
              <w:rPr>
                <w:rFonts w:hint="eastAsia" w:ascii="宋体" w:hAnsi="宋体" w:cs="宋体"/>
                <w:bCs/>
                <w:szCs w:val="21"/>
                <w:highlight w:val="none"/>
                <w:shd w:val="clear" w:color="auto" w:fill="FFFFFF"/>
              </w:rPr>
              <w:t>±10%</w:t>
            </w:r>
            <w:r>
              <w:rPr>
                <w:rFonts w:hint="eastAsia" w:ascii="宋体" w:hAnsi="宋体" w:cs="宋体"/>
                <w:bCs/>
                <w:szCs w:val="21"/>
                <w:highlight w:val="none"/>
              </w:rPr>
              <w:t>×80mm</w:t>
            </w:r>
            <w:r>
              <w:rPr>
                <w:rFonts w:hint="eastAsia" w:ascii="宋体" w:hAnsi="宋体" w:cs="宋体"/>
                <w:bCs/>
                <w:szCs w:val="21"/>
                <w:highlight w:val="none"/>
                <w:shd w:val="clear" w:color="auto" w:fill="FFFFFF"/>
              </w:rPr>
              <w:t>±10%</w:t>
            </w:r>
            <w:r>
              <w:rPr>
                <w:rFonts w:hint="eastAsia" w:ascii="宋体" w:hAnsi="宋体" w:cs="宋体"/>
                <w:bCs/>
                <w:szCs w:val="21"/>
                <w:highlight w:val="none"/>
              </w:rPr>
              <w:t>×40mm</w:t>
            </w:r>
            <w:r>
              <w:rPr>
                <w:rFonts w:hint="eastAsia" w:ascii="宋体" w:hAnsi="宋体" w:cs="宋体"/>
                <w:bCs/>
                <w:szCs w:val="21"/>
                <w:highlight w:val="none"/>
                <w:shd w:val="clear" w:color="auto" w:fill="FFFFFF"/>
              </w:rPr>
              <w:t>±10%</w:t>
            </w:r>
            <w:r>
              <w:rPr>
                <w:rFonts w:hint="eastAsia" w:ascii="宋体" w:hAnsi="宋体" w:cs="宋体"/>
                <w:bCs/>
                <w:szCs w:val="21"/>
                <w:highlight w:val="none"/>
              </w:rPr>
              <w:t>，摩擦面分别不少于2个和4个圆孔。</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气垫导轨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由导轨、导轨支座、滑行器及有关实验附件组成。导轨采用铝合金型材制作，导轨工作面长度1200mm</w:t>
            </w:r>
            <w:r>
              <w:rPr>
                <w:rFonts w:hint="eastAsia" w:ascii="宋体" w:hAnsi="宋体" w:cs="宋体"/>
                <w:bCs/>
                <w:szCs w:val="21"/>
                <w:highlight w:val="none"/>
                <w:shd w:val="clear" w:color="auto" w:fill="FFFFFF"/>
              </w:rPr>
              <w:t>±10%</w:t>
            </w:r>
            <w:r>
              <w:rPr>
                <w:rFonts w:hint="eastAsia" w:ascii="宋体" w:hAnsi="宋体" w:cs="宋体"/>
                <w:bCs/>
                <w:szCs w:val="21"/>
                <w:highlight w:val="none"/>
              </w:rPr>
              <w:t>，导轨工作面夹角：90°，导轨一侧斜面筋上设有刻度尺，刻度尺全长1200mm</w:t>
            </w:r>
            <w:r>
              <w:rPr>
                <w:rFonts w:hint="eastAsia" w:ascii="宋体" w:hAnsi="宋体" w:cs="宋体"/>
                <w:bCs/>
                <w:szCs w:val="21"/>
                <w:highlight w:val="none"/>
                <w:shd w:val="clear" w:color="auto" w:fill="FFFFFF"/>
              </w:rPr>
              <w:t>±10%</w:t>
            </w:r>
            <w:r>
              <w:rPr>
                <w:rFonts w:hint="eastAsia" w:ascii="宋体" w:hAnsi="宋体" w:cs="宋体"/>
                <w:bCs/>
                <w:szCs w:val="21"/>
                <w:highlight w:val="none"/>
              </w:rPr>
              <w:t>，最小分度值为1mm</w:t>
            </w:r>
            <w:r>
              <w:rPr>
                <w:rFonts w:hint="eastAsia" w:ascii="宋体" w:hAnsi="宋体" w:cs="宋体"/>
                <w:bCs/>
                <w:szCs w:val="21"/>
                <w:highlight w:val="none"/>
                <w:shd w:val="clear" w:color="auto" w:fill="FFFFFF"/>
              </w:rPr>
              <w:t>±10%</w:t>
            </w:r>
            <w:r>
              <w:rPr>
                <w:rFonts w:hint="eastAsia" w:ascii="宋体" w:hAnsi="宋体" w:cs="宋体"/>
                <w:bCs/>
                <w:szCs w:val="21"/>
                <w:highlight w:val="none"/>
              </w:rPr>
              <w:t>，每10mm</w:t>
            </w:r>
            <w:r>
              <w:rPr>
                <w:rFonts w:hint="eastAsia" w:ascii="宋体" w:hAnsi="宋体" w:cs="宋体"/>
                <w:bCs/>
                <w:szCs w:val="21"/>
                <w:highlight w:val="none"/>
                <w:shd w:val="clear" w:color="auto" w:fill="FFFFFF"/>
              </w:rPr>
              <w:t>±10%</w:t>
            </w:r>
            <w:r>
              <w:rPr>
                <w:rFonts w:hint="eastAsia" w:ascii="宋体" w:hAnsi="宋体" w:cs="宋体"/>
                <w:bCs/>
                <w:szCs w:val="21"/>
                <w:highlight w:val="none"/>
              </w:rPr>
              <w:t>标注刻度数字。导轨脚距：700mm</w:t>
            </w:r>
            <w:r>
              <w:rPr>
                <w:rFonts w:hint="eastAsia" w:ascii="宋体" w:hAnsi="宋体" w:cs="宋体"/>
                <w:bCs/>
                <w:szCs w:val="21"/>
                <w:highlight w:val="none"/>
                <w:shd w:val="clear" w:color="auto" w:fill="FFFFFF"/>
              </w:rPr>
              <w:t>±10%</w:t>
            </w:r>
            <w:r>
              <w:rPr>
                <w:rFonts w:hint="eastAsia" w:ascii="宋体" w:hAnsi="宋体" w:cs="宋体"/>
                <w:bCs/>
                <w:szCs w:val="21"/>
                <w:highlight w:val="none"/>
              </w:rPr>
              <w:t>，导轨进气口外径：Φ30mm</w:t>
            </w:r>
            <w:r>
              <w:rPr>
                <w:rFonts w:hint="eastAsia" w:ascii="宋体" w:hAnsi="宋体" w:cs="宋体"/>
                <w:bCs/>
                <w:szCs w:val="21"/>
                <w:highlight w:val="none"/>
                <w:shd w:val="clear" w:color="auto" w:fill="FFFFFF"/>
              </w:rPr>
              <w:t>±10%</w:t>
            </w:r>
            <w:r>
              <w:rPr>
                <w:rFonts w:hint="eastAsia" w:ascii="宋体" w:hAnsi="宋体" w:cs="宋体"/>
                <w:bCs/>
                <w:szCs w:val="21"/>
                <w:highlight w:val="none"/>
              </w:rPr>
              <w:t>，导轨底部设有两个支座，双脚支座上设两只调节螺钉，可调节导轨的纵向水平及横向水平；滑行器采用铝合金制作，长度120mm</w:t>
            </w:r>
            <w:r>
              <w:rPr>
                <w:rFonts w:hint="eastAsia" w:ascii="宋体" w:hAnsi="宋体" w:cs="宋体"/>
                <w:bCs/>
                <w:szCs w:val="21"/>
                <w:highlight w:val="none"/>
                <w:shd w:val="clear" w:color="auto" w:fill="FFFFFF"/>
              </w:rPr>
              <w:t>±10%</w:t>
            </w:r>
            <w:r>
              <w:rPr>
                <w:rFonts w:hint="eastAsia" w:ascii="宋体" w:hAnsi="宋体" w:cs="宋体"/>
                <w:bCs/>
                <w:szCs w:val="21"/>
                <w:highlight w:val="none"/>
              </w:rPr>
              <w:t>。实验附件包括不少于：挡光片（100mm</w:t>
            </w:r>
            <w:r>
              <w:rPr>
                <w:rFonts w:hint="eastAsia" w:ascii="宋体" w:hAnsi="宋体" w:cs="宋体"/>
                <w:bCs/>
                <w:szCs w:val="21"/>
                <w:highlight w:val="none"/>
                <w:shd w:val="clear" w:color="auto" w:fill="FFFFFF"/>
              </w:rPr>
              <w:t>±10%</w:t>
            </w:r>
            <w:r>
              <w:rPr>
                <w:rFonts w:hint="eastAsia" w:ascii="宋体" w:hAnsi="宋体" w:cs="宋体"/>
                <w:bCs/>
                <w:szCs w:val="21"/>
                <w:highlight w:val="none"/>
              </w:rPr>
              <w:t>,50mm</w:t>
            </w:r>
            <w:r>
              <w:rPr>
                <w:rFonts w:hint="eastAsia" w:ascii="宋体" w:hAnsi="宋体" w:cs="宋体"/>
                <w:bCs/>
                <w:szCs w:val="21"/>
                <w:highlight w:val="none"/>
                <w:shd w:val="clear" w:color="auto" w:fill="FFFFFF"/>
              </w:rPr>
              <w:t>±10%</w:t>
            </w:r>
            <w:r>
              <w:rPr>
                <w:rFonts w:hint="eastAsia" w:ascii="宋体" w:hAnsi="宋体" w:cs="宋体"/>
                <w:bCs/>
                <w:szCs w:val="21"/>
                <w:highlight w:val="none"/>
              </w:rPr>
              <w:t>,30mm</w:t>
            </w:r>
            <w:r>
              <w:rPr>
                <w:rFonts w:hint="eastAsia" w:ascii="宋体" w:hAnsi="宋体" w:cs="宋体"/>
                <w:bCs/>
                <w:szCs w:val="21"/>
                <w:highlight w:val="none"/>
                <w:shd w:val="clear" w:color="auto" w:fill="FFFFFF"/>
              </w:rPr>
              <w:t>±10%</w:t>
            </w:r>
            <w:r>
              <w:rPr>
                <w:rFonts w:hint="eastAsia" w:ascii="宋体" w:hAnsi="宋体" w:cs="宋体"/>
                <w:bCs/>
                <w:szCs w:val="21"/>
                <w:highlight w:val="none"/>
              </w:rPr>
              <w:t>各2片）6片、挡光条（5mm</w:t>
            </w:r>
            <w:r>
              <w:rPr>
                <w:rFonts w:hint="eastAsia" w:ascii="宋体" w:hAnsi="宋体" w:cs="宋体"/>
                <w:bCs/>
                <w:szCs w:val="21"/>
                <w:highlight w:val="none"/>
                <w:shd w:val="clear" w:color="auto" w:fill="FFFFFF"/>
              </w:rPr>
              <w:t>±10%</w:t>
            </w:r>
            <w:r>
              <w:rPr>
                <w:rFonts w:hint="eastAsia" w:ascii="宋体" w:hAnsi="宋体" w:cs="宋体"/>
                <w:bCs/>
                <w:szCs w:val="21"/>
                <w:highlight w:val="none"/>
              </w:rPr>
              <w:t>）2个、紧固螺钉（M4×10mm</w:t>
            </w:r>
            <w:r>
              <w:rPr>
                <w:rFonts w:hint="eastAsia" w:ascii="宋体" w:hAnsi="宋体" w:cs="宋体"/>
                <w:bCs/>
                <w:szCs w:val="21"/>
                <w:highlight w:val="none"/>
                <w:shd w:val="clear" w:color="auto" w:fill="FFFFFF"/>
              </w:rPr>
              <w:t>±10%</w:t>
            </w:r>
            <w:r>
              <w:rPr>
                <w:rFonts w:hint="eastAsia" w:ascii="宋体" w:hAnsi="宋体" w:cs="宋体"/>
                <w:bCs/>
                <w:szCs w:val="21"/>
                <w:highlight w:val="none"/>
              </w:rPr>
              <w:t>）17只、滑轮2个、滑轮架1个、加重砝码（50g±0.5g，100g±1g各4个）、U形弹射器2个、圆形弹射器2个、挂钩架2个、牵引线3米、座架4个、橡皮泥1块、三定律弹射器1个、砝码桶1个、振子弹簧2个、光电门架2个、起始板1个、钢丝针（Φ0.5mm</w:t>
            </w:r>
            <w:r>
              <w:rPr>
                <w:rFonts w:hint="eastAsia" w:ascii="宋体" w:hAnsi="宋体" w:cs="宋体"/>
                <w:bCs/>
                <w:szCs w:val="21"/>
                <w:highlight w:val="none"/>
                <w:shd w:val="clear" w:color="auto" w:fill="FFFFFF"/>
              </w:rPr>
              <w:t>±10%</w:t>
            </w:r>
            <w:r>
              <w:rPr>
                <w:rFonts w:hint="eastAsia" w:ascii="宋体" w:hAnsi="宋体" w:cs="宋体"/>
                <w:bCs/>
                <w:szCs w:val="21"/>
                <w:highlight w:val="none"/>
              </w:rPr>
              <w:t>）2根、固定螺钉（M4×25mm</w:t>
            </w:r>
            <w:r>
              <w:rPr>
                <w:rFonts w:hint="eastAsia" w:ascii="宋体" w:hAnsi="宋体" w:cs="宋体"/>
                <w:bCs/>
                <w:szCs w:val="21"/>
                <w:highlight w:val="none"/>
                <w:shd w:val="clear" w:color="auto" w:fill="FFFFFF"/>
              </w:rPr>
              <w:t>±10%</w:t>
            </w:r>
            <w:r>
              <w:rPr>
                <w:rFonts w:hint="eastAsia" w:ascii="宋体" w:hAnsi="宋体" w:cs="宋体"/>
                <w:bCs/>
                <w:szCs w:val="21"/>
                <w:highlight w:val="none"/>
              </w:rPr>
              <w:t>）2个、橡皮筋4根。</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小型气源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气压不小于5kPa，低噪声</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频闪光源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25Hz，50Hz，100Hz；</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运动频闪观测仪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频闪光源25Hz、50Hz，可实时观测运动物体图像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金属钩码</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圆柱形组合钩码，组成：50g×4，200g×2，铁质镀锌，塑料盒装；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金属槽码</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2g×3，5g×2，10g×2，20g×2，50g×2，100g×2，200g×2，5g×1金属槽码盘和10g×1金属槽码盘</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100g，0.01g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电子天平2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1000g，0.1g</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托盘天平1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最大称量200g，最小分度值0.2g，需带有砝码</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托盘天平2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最大称量500g，最小分度值0.5g，需带有砝码</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学生数字测力计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量程2N，分辨率0.001N，误差≤0.2%满量程±1/2字，有调零、内置校准、记忆(能显示稳定值)功能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牛顿第二定律实验仪</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由轨道、小车两辆、刹车装置、滑轮、塑料小桶等组成，轨道为铝型材，表面化学抛光处理，长900mm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和850mm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，轨道两内尺寸：49mm，并装有调平装置；小车车体为塑料，总质量为200g±6g；砝码桶为塑料，质量为5g±1g；滑轮为塑料，外径28mm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牛顿第二定律演示器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由轨道、小车两辆、刹车装置、滑轮、塑料小桶等组成，轨道为铝型材，表面化学抛光处理，长900mm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和850mm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，轨道两内尺寸：49mm，并装有调平装置；小车车体为塑料，总质量为200g±6g；砝码桶为塑料，质量为5g±1g；滑轮为塑料，外径28mm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微小形变演示器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利用光杠杆原理；</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数字计时器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四位及以上，数据存贮，显示：不少于10个挡光间隔时间、10周振动、n次振动时间总和、加速度计时三个时间、自由落体时间不少于二个、二路光电门分别计二个挡光时间(对碰、追碰)，有光电门接口和电磁铁接口；</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平抛运动实验器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由铝制导轨、钢球、重锤、接球槽、演示板组成，底座和面板均采用冷轧板制成，面板烤白漆、底座烤黑漆，面板尺寸不小于325mm</w:t>
            </w:r>
            <w:r>
              <w:rPr>
                <w:rFonts w:hint="eastAsia" w:ascii="宋体" w:hAnsi="宋体" w:cs="宋体"/>
                <w:bCs/>
                <w:szCs w:val="21"/>
                <w:highlight w:val="none"/>
                <w:shd w:val="clear" w:color="auto" w:fill="FFFFFF"/>
              </w:rPr>
              <w:t>±10%</w:t>
            </w:r>
            <w:r>
              <w:rPr>
                <w:rFonts w:hint="eastAsia" w:ascii="宋体" w:hAnsi="宋体" w:cs="宋体"/>
                <w:bCs/>
                <w:szCs w:val="21"/>
                <w:highlight w:val="none"/>
              </w:rPr>
              <w:t>×240mm</w:t>
            </w:r>
            <w:r>
              <w:rPr>
                <w:rFonts w:hint="eastAsia" w:ascii="宋体" w:hAnsi="宋体" w:cs="宋体"/>
                <w:bCs/>
                <w:szCs w:val="21"/>
                <w:highlight w:val="none"/>
                <w:shd w:val="clear" w:color="auto" w:fill="FFFFFF"/>
              </w:rPr>
              <w:t>±10%</w:t>
            </w:r>
            <w:r>
              <w:rPr>
                <w:rFonts w:hint="eastAsia" w:ascii="宋体" w:hAnsi="宋体" w:cs="宋体"/>
                <w:bCs/>
                <w:szCs w:val="21"/>
                <w:highlight w:val="none"/>
              </w:rPr>
              <w:t>×1mm</w:t>
            </w:r>
            <w:r>
              <w:rPr>
                <w:rFonts w:hint="eastAsia" w:ascii="宋体" w:hAnsi="宋体" w:cs="宋体"/>
                <w:bCs/>
                <w:szCs w:val="21"/>
                <w:highlight w:val="none"/>
                <w:shd w:val="clear" w:color="auto" w:fill="FFFFFF"/>
              </w:rPr>
              <w:t>±10%</w:t>
            </w:r>
            <w:r>
              <w:rPr>
                <w:rFonts w:hint="eastAsia" w:ascii="宋体" w:hAnsi="宋体" w:cs="宋体"/>
                <w:bCs/>
                <w:szCs w:val="21"/>
                <w:highlight w:val="none"/>
              </w:rPr>
              <w:t>，底座尺寸不小于250mm</w:t>
            </w:r>
            <w:r>
              <w:rPr>
                <w:rFonts w:hint="eastAsia" w:ascii="宋体" w:hAnsi="宋体" w:cs="宋体"/>
                <w:bCs/>
                <w:szCs w:val="21"/>
                <w:highlight w:val="none"/>
                <w:shd w:val="clear" w:color="auto" w:fill="FFFFFF"/>
              </w:rPr>
              <w:t>±10%</w:t>
            </w:r>
            <w:r>
              <w:rPr>
                <w:rFonts w:hint="eastAsia" w:ascii="宋体" w:hAnsi="宋体" w:cs="宋体"/>
                <w:bCs/>
                <w:szCs w:val="21"/>
                <w:highlight w:val="none"/>
              </w:rPr>
              <w:t>×100mm</w:t>
            </w:r>
            <w:r>
              <w:rPr>
                <w:rFonts w:hint="eastAsia" w:ascii="宋体" w:hAnsi="宋体" w:cs="宋体"/>
                <w:bCs/>
                <w:szCs w:val="21"/>
                <w:highlight w:val="none"/>
                <w:shd w:val="clear" w:color="auto" w:fill="FFFFFF"/>
              </w:rPr>
              <w:t>±10%</w:t>
            </w:r>
            <w:r>
              <w:rPr>
                <w:rFonts w:hint="eastAsia" w:ascii="宋体" w:hAnsi="宋体" w:cs="宋体"/>
                <w:bCs/>
                <w:szCs w:val="21"/>
                <w:highlight w:val="none"/>
              </w:rPr>
              <w:t>×10mm</w:t>
            </w:r>
            <w:r>
              <w:rPr>
                <w:rFonts w:hint="eastAsia" w:ascii="宋体" w:hAnsi="宋体" w:cs="宋体"/>
                <w:bCs/>
                <w:szCs w:val="21"/>
                <w:highlight w:val="none"/>
                <w:shd w:val="clear" w:color="auto" w:fill="FFFFFF"/>
              </w:rPr>
              <w:t>±10%</w:t>
            </w:r>
            <w:r>
              <w:rPr>
                <w:rFonts w:hint="eastAsia" w:ascii="宋体" w:hAnsi="宋体" w:cs="宋体"/>
                <w:bCs/>
                <w:szCs w:val="21"/>
                <w:highlight w:val="none"/>
              </w:rPr>
              <w:t>，并有调平螺丝，钢球和直径为16mm</w:t>
            </w:r>
            <w:r>
              <w:rPr>
                <w:rFonts w:hint="eastAsia" w:ascii="宋体" w:hAnsi="宋体" w:cs="宋体"/>
                <w:bCs/>
                <w:szCs w:val="21"/>
                <w:highlight w:val="none"/>
                <w:shd w:val="clear" w:color="auto" w:fill="FFFFFF"/>
              </w:rPr>
              <w:t>±10%</w:t>
            </w:r>
            <w:r>
              <w:rPr>
                <w:rFonts w:hint="eastAsia" w:ascii="宋体" w:hAnsi="宋体" w:cs="宋体"/>
                <w:bCs/>
                <w:szCs w:val="21"/>
                <w:highlight w:val="none"/>
              </w:rPr>
              <w:t>，接球槽可上下移动，能停留在任一位置。</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平抛运动演示器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双轨，由图板、轨道、钢球、挡球片、水平轨道、水平滑杆、开关、电源等组成；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二维空间—时间描迹仪</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主机、发射枪组件、单摆组件、向心力组件、卷纸机、运动体、基准尺、压纸条等构成。能完成研究平抛物体的运动、斜抛、机械能守恒、弹性、非弹性、向心力、单摆、简谐、自由落体等9种实验，主机外形尺寸:390mm</w:t>
            </w:r>
            <w:r>
              <w:rPr>
                <w:rFonts w:hint="eastAsia" w:ascii="宋体" w:hAnsi="宋体" w:cs="宋体"/>
                <w:bCs/>
                <w:szCs w:val="21"/>
                <w:highlight w:val="none"/>
                <w:shd w:val="clear" w:color="auto" w:fill="FFFFFF"/>
              </w:rPr>
              <w:t>±10%</w:t>
            </w:r>
            <w:r>
              <w:rPr>
                <w:rFonts w:hint="eastAsia" w:ascii="宋体" w:hAnsi="宋体" w:cs="宋体"/>
                <w:bCs/>
                <w:szCs w:val="21"/>
                <w:highlight w:val="none"/>
              </w:rPr>
              <w:t>×140mm</w:t>
            </w:r>
            <w:r>
              <w:rPr>
                <w:rFonts w:hint="eastAsia" w:ascii="宋体" w:hAnsi="宋体" w:cs="宋体"/>
                <w:bCs/>
                <w:szCs w:val="21"/>
                <w:highlight w:val="none"/>
                <w:shd w:val="clear" w:color="auto" w:fill="FFFFFF"/>
              </w:rPr>
              <w:t>±10%</w:t>
            </w:r>
            <w:r>
              <w:rPr>
                <w:rFonts w:hint="eastAsia" w:ascii="宋体" w:hAnsi="宋体" w:cs="宋体"/>
                <w:bCs/>
                <w:szCs w:val="21"/>
                <w:highlight w:val="none"/>
              </w:rPr>
              <w:t>×430mm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向心力实验仪</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由底座、导杆、平衡体、周期测定盘、捻柄、配重体、圆柱体、弹簧、半径指示器、弹簧拉杆及转轴组成，底座为金属制，尺寸：235mm</w:t>
            </w:r>
            <w:r>
              <w:rPr>
                <w:rFonts w:hint="eastAsia" w:ascii="宋体" w:hAnsi="宋体" w:cs="宋体"/>
                <w:bCs/>
                <w:szCs w:val="21"/>
                <w:highlight w:val="none"/>
                <w:shd w:val="clear" w:color="auto" w:fill="FFFFFF"/>
              </w:rPr>
              <w:t>±10%</w:t>
            </w:r>
            <w:r>
              <w:rPr>
                <w:rFonts w:hint="eastAsia" w:ascii="宋体" w:hAnsi="宋体" w:cs="宋体"/>
                <w:bCs/>
                <w:szCs w:val="21"/>
                <w:highlight w:val="none"/>
              </w:rPr>
              <w:t>×105mm</w:t>
            </w:r>
            <w:r>
              <w:rPr>
                <w:rFonts w:hint="eastAsia" w:ascii="宋体" w:hAnsi="宋体" w:cs="宋体"/>
                <w:bCs/>
                <w:szCs w:val="21"/>
                <w:highlight w:val="none"/>
                <w:shd w:val="clear" w:color="auto" w:fill="FFFFFF"/>
              </w:rPr>
              <w:t>±10%</w:t>
            </w:r>
            <w:r>
              <w:rPr>
                <w:rFonts w:hint="eastAsia" w:ascii="宋体" w:hAnsi="宋体" w:cs="宋体"/>
                <w:bCs/>
                <w:szCs w:val="21"/>
                <w:highlight w:val="none"/>
              </w:rPr>
              <w:t>×15mm</w:t>
            </w:r>
            <w:r>
              <w:rPr>
                <w:rFonts w:hint="eastAsia" w:ascii="宋体" w:hAnsi="宋体" w:cs="宋体"/>
                <w:bCs/>
                <w:szCs w:val="21"/>
                <w:highlight w:val="none"/>
                <w:shd w:val="clear" w:color="auto" w:fill="FFFFFF"/>
              </w:rPr>
              <w:t>±10%</w:t>
            </w:r>
            <w:r>
              <w:rPr>
                <w:rFonts w:hint="eastAsia" w:ascii="宋体" w:hAnsi="宋体" w:cs="宋体"/>
                <w:bCs/>
                <w:szCs w:val="21"/>
                <w:highlight w:val="none"/>
              </w:rPr>
              <w:t>，导杆、平衡杆及弹簧拉杆均为直径6mm</w:t>
            </w:r>
            <w:r>
              <w:rPr>
                <w:rFonts w:hint="eastAsia" w:ascii="宋体" w:hAnsi="宋体" w:cs="宋体"/>
                <w:bCs/>
                <w:szCs w:val="21"/>
                <w:highlight w:val="none"/>
                <w:shd w:val="clear" w:color="auto" w:fill="FFFFFF"/>
              </w:rPr>
              <w:t>±10%</w:t>
            </w:r>
            <w:r>
              <w:rPr>
                <w:rFonts w:hint="eastAsia" w:ascii="宋体" w:hAnsi="宋体" w:cs="宋体"/>
                <w:bCs/>
                <w:szCs w:val="21"/>
                <w:highlight w:val="none"/>
              </w:rPr>
              <w:t>，表面电镀处理，周期测定盘为铝制，直径80mm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向心力演示器1</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由支架、电机、转臂、控制器、力传感器、钢球等构成。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向心力演示器2</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具有数码显示屏，由平台、电机、转臂、支架、控制器、力传定钢球等构成。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学生数字测力计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固定柱、显示屏、操作面板、推拉力输入勾及外壳等组成，量程5N或500g，超过最大量程报警，分辨率0.001N或0.1g误差≤0.2%，操作机板上有N/G、归零、峰值、开关、锁定、记忆，电源：3节7号AAA电池，外壳为全塑料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球形导体</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由球体、绝缘支杆、底座三部分组成。球体采用金属空芯球体，表面镀镍，球体直径约90mm</w:t>
            </w:r>
            <w:r>
              <w:rPr>
                <w:rFonts w:hint="eastAsia" w:ascii="宋体" w:hAnsi="宋体" w:cs="宋体"/>
                <w:bCs/>
                <w:szCs w:val="21"/>
                <w:highlight w:val="none"/>
                <w:shd w:val="clear" w:color="auto" w:fill="FFFFFF"/>
              </w:rPr>
              <w:t>±10%</w:t>
            </w:r>
            <w:r>
              <w:rPr>
                <w:rFonts w:hint="eastAsia" w:ascii="宋体" w:hAnsi="宋体" w:cs="宋体"/>
                <w:bCs/>
                <w:szCs w:val="21"/>
                <w:highlight w:val="none"/>
              </w:rPr>
              <w:t>，绝缘支杆与底座总高度约100mm</w:t>
            </w:r>
            <w:r>
              <w:rPr>
                <w:rFonts w:hint="eastAsia" w:ascii="宋体" w:hAnsi="宋体" w:cs="宋体"/>
                <w:bCs/>
                <w:szCs w:val="21"/>
                <w:highlight w:val="none"/>
                <w:shd w:val="clear" w:color="auto" w:fill="FFFFFF"/>
              </w:rPr>
              <w:t>±10%</w:t>
            </w:r>
            <w:r>
              <w:rPr>
                <w:rFonts w:hint="eastAsia" w:ascii="宋体" w:hAnsi="宋体" w:cs="宋体"/>
                <w:bCs/>
                <w:szCs w:val="21"/>
                <w:highlight w:val="none"/>
              </w:rPr>
              <w:t>，支杆Φ10mm</w:t>
            </w:r>
            <w:r>
              <w:rPr>
                <w:rFonts w:hint="eastAsia" w:ascii="宋体" w:hAnsi="宋体" w:cs="宋体"/>
                <w:bCs/>
                <w:szCs w:val="21"/>
                <w:highlight w:val="none"/>
                <w:shd w:val="clear" w:color="auto" w:fill="FFFFFF"/>
              </w:rPr>
              <w:t>±10%</w:t>
            </w:r>
            <w:r>
              <w:rPr>
                <w:rFonts w:hint="eastAsia" w:ascii="宋体" w:hAnsi="宋体" w:cs="宋体"/>
                <w:bCs/>
                <w:szCs w:val="21"/>
                <w:highlight w:val="none"/>
              </w:rPr>
              <w:t>，底座底径100mm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枕形导体</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结构：二只金属制成的空心圆筒，空心圆筒外形尺寸为Φ60mm±1mm，高68mm</w:t>
            </w:r>
            <w:r>
              <w:rPr>
                <w:rFonts w:hint="eastAsia" w:ascii="宋体" w:hAnsi="宋体" w:cs="宋体"/>
                <w:bCs/>
                <w:szCs w:val="21"/>
                <w:highlight w:val="none"/>
                <w:shd w:val="clear" w:color="auto" w:fill="FFFFFF"/>
              </w:rPr>
              <w:t>±10%</w:t>
            </w:r>
            <w:r>
              <w:rPr>
                <w:rFonts w:hint="eastAsia" w:ascii="宋体" w:hAnsi="宋体" w:cs="宋体"/>
                <w:bCs/>
                <w:szCs w:val="21"/>
                <w:highlight w:val="none"/>
              </w:rPr>
              <w:t>；一端为半球面，另一端为平口，将二只圆筒的平口对合起来，可成为一个枕形导体，每只导体均有绝缘支杆及底座。支杆为有机玻璃Φ12mm</w:t>
            </w:r>
            <w:r>
              <w:rPr>
                <w:rFonts w:hint="eastAsia" w:ascii="宋体" w:hAnsi="宋体" w:cs="宋体"/>
                <w:bCs/>
                <w:szCs w:val="21"/>
                <w:highlight w:val="none"/>
                <w:shd w:val="clear" w:color="auto" w:fill="FFFFFF"/>
              </w:rPr>
              <w:t>±10%</w:t>
            </w:r>
            <w:r>
              <w:rPr>
                <w:rFonts w:hint="eastAsia" w:ascii="宋体" w:hAnsi="宋体" w:cs="宋体"/>
                <w:bCs/>
                <w:szCs w:val="21"/>
                <w:highlight w:val="none"/>
              </w:rPr>
              <w:t>，高110mm</w:t>
            </w:r>
            <w:r>
              <w:rPr>
                <w:rFonts w:hint="eastAsia" w:ascii="宋体" w:hAnsi="宋体" w:cs="宋体"/>
                <w:bCs/>
                <w:szCs w:val="21"/>
                <w:highlight w:val="none"/>
                <w:shd w:val="clear" w:color="auto" w:fill="FFFFFF"/>
              </w:rPr>
              <w:t>±10%</w:t>
            </w:r>
            <w:r>
              <w:rPr>
                <w:rFonts w:hint="eastAsia" w:ascii="宋体" w:hAnsi="宋体" w:cs="宋体"/>
                <w:bCs/>
                <w:szCs w:val="21"/>
                <w:highlight w:val="none"/>
              </w:rPr>
              <w:t>；底座Φ85mm</w:t>
            </w:r>
            <w:r>
              <w:rPr>
                <w:rFonts w:hint="eastAsia" w:ascii="宋体" w:hAnsi="宋体" w:cs="宋体"/>
                <w:bCs/>
                <w:szCs w:val="21"/>
                <w:highlight w:val="none"/>
                <w:shd w:val="clear" w:color="auto" w:fill="FFFFFF"/>
              </w:rPr>
              <w:t>±10%</w:t>
            </w:r>
            <w:r>
              <w:rPr>
                <w:rFonts w:hint="eastAsia" w:ascii="宋体" w:hAnsi="宋体" w:cs="宋体"/>
                <w:bCs/>
                <w:szCs w:val="21"/>
                <w:highlight w:val="none"/>
              </w:rPr>
              <w:t>，高约13mm</w:t>
            </w:r>
            <w:r>
              <w:rPr>
                <w:rFonts w:hint="eastAsia" w:ascii="宋体" w:hAnsi="宋体" w:cs="宋体"/>
                <w:bCs/>
                <w:szCs w:val="21"/>
                <w:highlight w:val="none"/>
                <w:shd w:val="clear" w:color="auto" w:fill="FFFFFF"/>
              </w:rPr>
              <w:t>±10%；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范式起电机</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由蓄电球、集电梳、皮带轮、有机玻璃圆筒、橡胶带、电动机、白炽灯、放电球、放电球绝缘杆和底座组成。蓄电球Φ200mm，放电球的Φ60mm</w:t>
            </w:r>
            <w:r>
              <w:rPr>
                <w:rFonts w:hint="eastAsia" w:ascii="宋体" w:hAnsi="宋体" w:cs="宋体"/>
                <w:bCs/>
                <w:szCs w:val="21"/>
                <w:highlight w:val="none"/>
                <w:shd w:val="clear" w:color="auto" w:fill="FFFFFF"/>
              </w:rPr>
              <w:t>±10%</w:t>
            </w:r>
            <w:r>
              <w:rPr>
                <w:rFonts w:hint="eastAsia" w:ascii="宋体" w:hAnsi="宋体" w:cs="宋体"/>
                <w:bCs/>
                <w:szCs w:val="21"/>
                <w:highlight w:val="none"/>
              </w:rPr>
              <w:t>，火花距离≥50mm；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感应起电机</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起电盘直径：235mm</w:t>
            </w:r>
            <w:r>
              <w:rPr>
                <w:rFonts w:hint="eastAsia" w:ascii="宋体" w:hAnsi="宋体" w:cs="宋体"/>
                <w:bCs/>
                <w:szCs w:val="21"/>
                <w:highlight w:val="none"/>
                <w:shd w:val="clear" w:color="auto" w:fill="FFFFFF"/>
              </w:rPr>
              <w:t>±10%</w:t>
            </w:r>
            <w:r>
              <w:rPr>
                <w:rFonts w:hint="eastAsia" w:ascii="宋体" w:hAnsi="宋体" w:cs="宋体"/>
                <w:bCs/>
                <w:szCs w:val="21"/>
                <w:highlight w:val="none"/>
              </w:rPr>
              <w:t>，放电距离：在相对湿度为65%的环境中火花放电距离≥30mm，由底座、莱顿瓶、支架、放电叉绝缘柄、集电杆、放电叉杆、导电层、中和电刷（感应电刷）、电刷杆、上轴及上轴螺钉、莱顿瓶盖、导电弹簧、大皮带轮、连接片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附丝绸；</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胶棒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附皮毛；</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箔片验电器1</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由底座、透明外壳、绝缘套、导电杆、集电板、箔片等组成，教师用；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箔片验电器2</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由透明外壳、导电杆、金属盘、箔片组合，学生用；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指针验电器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带法拉第圆筒；</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验电器连接杆</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由绝缘手柄、连接杆、紧固螺钉构成，绝缘手柄采用直径Φ12mm</w:t>
            </w:r>
            <w:r>
              <w:rPr>
                <w:rFonts w:hint="eastAsia" w:ascii="宋体" w:hAnsi="宋体" w:cs="宋体"/>
                <w:bCs/>
                <w:szCs w:val="21"/>
                <w:highlight w:val="none"/>
                <w:shd w:val="clear" w:color="auto" w:fill="FFFFFF"/>
              </w:rPr>
              <w:t>±10%</w:t>
            </w:r>
            <w:r>
              <w:rPr>
                <w:rFonts w:hint="eastAsia" w:ascii="宋体" w:hAnsi="宋体" w:cs="宋体"/>
                <w:bCs/>
                <w:szCs w:val="21"/>
                <w:highlight w:val="none"/>
              </w:rPr>
              <w:t>的有机玻璃棒制作，长度不小于130mm；连接杆采用直径不小于Φ2mm的钢丝制作，长度200mm</w:t>
            </w:r>
            <w:r>
              <w:rPr>
                <w:rFonts w:hint="eastAsia" w:ascii="宋体" w:hAnsi="宋体" w:cs="宋体"/>
                <w:bCs/>
                <w:szCs w:val="21"/>
                <w:highlight w:val="none"/>
                <w:shd w:val="clear" w:color="auto" w:fill="FFFFFF"/>
              </w:rPr>
              <w:t>±10%</w:t>
            </w:r>
            <w:r>
              <w:rPr>
                <w:rFonts w:hint="eastAsia" w:ascii="宋体" w:hAnsi="宋体" w:cs="宋体"/>
                <w:bCs/>
                <w:szCs w:val="21"/>
                <w:highlight w:val="none"/>
              </w:rPr>
              <w:t>，一端成形为“V”形。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移电球（验电球）</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由绝缘手柄及金属球构成。绝缘手柄采用Φ12mm</w:t>
            </w:r>
            <w:r>
              <w:rPr>
                <w:rFonts w:hint="eastAsia" w:ascii="宋体" w:hAnsi="宋体" w:cs="宋体"/>
                <w:bCs/>
                <w:szCs w:val="21"/>
                <w:highlight w:val="none"/>
                <w:shd w:val="clear" w:color="auto" w:fill="FFFFFF"/>
              </w:rPr>
              <w:t>±10%</w:t>
            </w:r>
            <w:r>
              <w:rPr>
                <w:rFonts w:hint="eastAsia" w:ascii="宋体" w:hAnsi="宋体" w:cs="宋体"/>
                <w:bCs/>
                <w:szCs w:val="21"/>
                <w:highlight w:val="none"/>
              </w:rPr>
              <w:t>的有机玻璃棒制作，长度不小于90mm；金属球采用Φ16mm</w:t>
            </w:r>
            <w:r>
              <w:rPr>
                <w:rFonts w:hint="eastAsia" w:ascii="宋体" w:hAnsi="宋体" w:cs="宋体"/>
                <w:bCs/>
                <w:szCs w:val="21"/>
                <w:highlight w:val="none"/>
                <w:shd w:val="clear" w:color="auto" w:fill="FFFFFF"/>
              </w:rPr>
              <w:t>±10%</w:t>
            </w:r>
            <w:r>
              <w:rPr>
                <w:rFonts w:hint="eastAsia" w:ascii="宋体" w:hAnsi="宋体" w:cs="宋体"/>
                <w:bCs/>
                <w:szCs w:val="21"/>
                <w:highlight w:val="none"/>
              </w:rPr>
              <w:t>钢球，表面镀铬。金属球与绝缘手柄端面接触良好，螺接牢靠。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验电羽</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由底座、支架、丝线固定卡、丝线等组成，每套配两只。底座采用工程塑料制作，尺寸为Φ69mm</w:t>
            </w:r>
            <w:r>
              <w:rPr>
                <w:rFonts w:hint="eastAsia" w:ascii="宋体" w:hAnsi="宋体" w:cs="宋体"/>
                <w:bCs/>
                <w:szCs w:val="21"/>
                <w:highlight w:val="none"/>
                <w:shd w:val="clear" w:color="auto" w:fill="FFFFFF"/>
              </w:rPr>
              <w:t>±10%</w:t>
            </w:r>
            <w:r>
              <w:rPr>
                <w:rFonts w:hint="eastAsia" w:ascii="宋体" w:hAnsi="宋体" w:cs="宋体"/>
                <w:bCs/>
                <w:szCs w:val="21"/>
                <w:highlight w:val="none"/>
              </w:rPr>
              <w:t>×12mm</w:t>
            </w:r>
            <w:r>
              <w:rPr>
                <w:rFonts w:hint="eastAsia" w:ascii="宋体" w:hAnsi="宋体" w:cs="宋体"/>
                <w:bCs/>
                <w:szCs w:val="21"/>
                <w:highlight w:val="none"/>
                <w:shd w:val="clear" w:color="auto" w:fill="FFFFFF"/>
              </w:rPr>
              <w:t>±10%</w:t>
            </w:r>
            <w:r>
              <w:rPr>
                <w:rFonts w:hint="eastAsia" w:ascii="宋体" w:hAnsi="宋体" w:cs="宋体"/>
                <w:bCs/>
                <w:szCs w:val="21"/>
                <w:highlight w:val="none"/>
              </w:rPr>
              <w:t>；支架采用Φ3.5mm</w:t>
            </w:r>
            <w:r>
              <w:rPr>
                <w:rFonts w:hint="eastAsia" w:ascii="宋体" w:hAnsi="宋体" w:cs="宋体"/>
                <w:bCs/>
                <w:szCs w:val="21"/>
                <w:highlight w:val="none"/>
                <w:shd w:val="clear" w:color="auto" w:fill="FFFFFF"/>
              </w:rPr>
              <w:t>±10%</w:t>
            </w:r>
            <w:r>
              <w:rPr>
                <w:rFonts w:hint="eastAsia" w:ascii="宋体" w:hAnsi="宋体" w:cs="宋体"/>
                <w:bCs/>
                <w:szCs w:val="21"/>
                <w:highlight w:val="none"/>
              </w:rPr>
              <w:t>的金属杆制作，支杆高度100mm；丝线固定卡采用厚度为0.5mm</w:t>
            </w:r>
            <w:r>
              <w:rPr>
                <w:rFonts w:hint="eastAsia" w:ascii="宋体" w:hAnsi="宋体" w:cs="宋体"/>
                <w:bCs/>
                <w:szCs w:val="21"/>
                <w:highlight w:val="none"/>
                <w:shd w:val="clear" w:color="auto" w:fill="FFFFFF"/>
              </w:rPr>
              <w:t>±10%</w:t>
            </w:r>
            <w:r>
              <w:rPr>
                <w:rFonts w:hint="eastAsia" w:ascii="宋体" w:hAnsi="宋体" w:cs="宋体"/>
                <w:bCs/>
                <w:szCs w:val="21"/>
                <w:highlight w:val="none"/>
              </w:rPr>
              <w:t>金属板成型，固定卡Φ27mm</w:t>
            </w:r>
            <w:r>
              <w:rPr>
                <w:rFonts w:hint="eastAsia" w:ascii="宋体" w:hAnsi="宋体" w:cs="宋体"/>
                <w:bCs/>
                <w:szCs w:val="21"/>
                <w:highlight w:val="none"/>
                <w:shd w:val="clear" w:color="auto" w:fill="FFFFFF"/>
              </w:rPr>
              <w:t>±10%</w:t>
            </w:r>
            <w:r>
              <w:rPr>
                <w:rFonts w:hint="eastAsia" w:ascii="宋体" w:hAnsi="宋体" w:cs="宋体"/>
                <w:bCs/>
                <w:szCs w:val="21"/>
                <w:highlight w:val="none"/>
              </w:rPr>
              <w:t>；丝线颜色为红色，线径1mm</w:t>
            </w:r>
            <w:r>
              <w:rPr>
                <w:rFonts w:hint="eastAsia" w:ascii="宋体" w:hAnsi="宋体" w:cs="宋体"/>
                <w:bCs/>
                <w:szCs w:val="21"/>
                <w:highlight w:val="none"/>
                <w:shd w:val="clear" w:color="auto" w:fill="FFFFFF"/>
              </w:rPr>
              <w:t>±10%</w:t>
            </w:r>
            <w:r>
              <w:rPr>
                <w:rFonts w:hint="eastAsia" w:ascii="宋体" w:hAnsi="宋体" w:cs="宋体"/>
                <w:bCs/>
                <w:szCs w:val="21"/>
                <w:highlight w:val="none"/>
              </w:rPr>
              <w:t>，丝线均匀分布在固定卡周边，根数不少于45根，丝线下垂长度不小于50mm。产品外形尺寸Φ69mm</w:t>
            </w:r>
            <w:r>
              <w:rPr>
                <w:rFonts w:hint="eastAsia" w:ascii="宋体" w:hAnsi="宋体" w:cs="宋体"/>
                <w:bCs/>
                <w:szCs w:val="21"/>
                <w:highlight w:val="none"/>
                <w:shd w:val="clear" w:color="auto" w:fill="FFFFFF"/>
              </w:rPr>
              <w:t>±10%</w:t>
            </w:r>
            <w:r>
              <w:rPr>
                <w:rFonts w:hint="eastAsia" w:ascii="宋体" w:hAnsi="宋体" w:cs="宋体"/>
                <w:bCs/>
                <w:szCs w:val="21"/>
                <w:highlight w:val="none"/>
              </w:rPr>
              <w:t>×120mm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验电幡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由铜丝网、红丝线、支柱、底座等组成。铜丝网为平纹黄铜丝网，目数：不少于200目/吋，铜丝网尺寸为360mm</w:t>
            </w:r>
            <w:r>
              <w:rPr>
                <w:rFonts w:hint="eastAsia" w:ascii="宋体" w:hAnsi="宋体" w:cs="宋体"/>
                <w:bCs/>
                <w:szCs w:val="21"/>
                <w:highlight w:val="none"/>
                <w:shd w:val="clear" w:color="auto" w:fill="FFFFFF"/>
              </w:rPr>
              <w:t>±10%</w:t>
            </w:r>
            <w:r>
              <w:rPr>
                <w:rFonts w:hint="eastAsia" w:ascii="宋体" w:hAnsi="宋体" w:cs="宋体"/>
                <w:bCs/>
                <w:szCs w:val="21"/>
                <w:highlight w:val="none"/>
              </w:rPr>
              <w:t>×105mm</w:t>
            </w:r>
            <w:r>
              <w:rPr>
                <w:rFonts w:hint="eastAsia" w:ascii="宋体" w:hAnsi="宋体" w:cs="宋体"/>
                <w:bCs/>
                <w:szCs w:val="21"/>
                <w:highlight w:val="none"/>
                <w:shd w:val="clear" w:color="auto" w:fill="FFFFFF"/>
              </w:rPr>
              <w:t>±10%</w:t>
            </w:r>
            <w:r>
              <w:rPr>
                <w:rFonts w:hint="eastAsia" w:ascii="宋体" w:hAnsi="宋体" w:cs="宋体"/>
                <w:bCs/>
                <w:szCs w:val="21"/>
                <w:highlight w:val="none"/>
              </w:rPr>
              <w:t>；红丝线Φ1mm</w:t>
            </w:r>
            <w:r>
              <w:rPr>
                <w:rFonts w:hint="eastAsia" w:ascii="宋体" w:hAnsi="宋体" w:cs="宋体"/>
                <w:bCs/>
                <w:szCs w:val="21"/>
                <w:highlight w:val="none"/>
                <w:shd w:val="clear" w:color="auto" w:fill="FFFFFF"/>
              </w:rPr>
              <w:t>±10%</w:t>
            </w:r>
            <w:r>
              <w:rPr>
                <w:rFonts w:hint="eastAsia" w:ascii="宋体" w:hAnsi="宋体" w:cs="宋体"/>
                <w:bCs/>
                <w:szCs w:val="21"/>
                <w:highlight w:val="none"/>
              </w:rPr>
              <w:t>×150mm</w:t>
            </w:r>
            <w:r>
              <w:rPr>
                <w:rFonts w:hint="eastAsia" w:ascii="宋体" w:hAnsi="宋体" w:cs="宋体"/>
                <w:bCs/>
                <w:szCs w:val="21"/>
                <w:highlight w:val="none"/>
                <w:shd w:val="clear" w:color="auto" w:fill="FFFFFF"/>
              </w:rPr>
              <w:t>±10%</w:t>
            </w:r>
            <w:r>
              <w:rPr>
                <w:rFonts w:hint="eastAsia" w:ascii="宋体" w:hAnsi="宋体" w:cs="宋体"/>
                <w:bCs/>
                <w:szCs w:val="21"/>
                <w:highlight w:val="none"/>
              </w:rPr>
              <w:t>，不少于8根，悬挂在铜丝网两侧。支柱不少于3根，采用Φ5mm</w:t>
            </w:r>
            <w:r>
              <w:rPr>
                <w:rFonts w:hint="eastAsia" w:ascii="宋体" w:hAnsi="宋体" w:cs="宋体"/>
                <w:bCs/>
                <w:szCs w:val="21"/>
                <w:highlight w:val="none"/>
                <w:shd w:val="clear" w:color="auto" w:fill="FFFFFF"/>
              </w:rPr>
              <w:t>±10%</w:t>
            </w:r>
            <w:r>
              <w:rPr>
                <w:rFonts w:hint="eastAsia" w:ascii="宋体" w:hAnsi="宋体" w:cs="宋体"/>
                <w:bCs/>
                <w:szCs w:val="21"/>
                <w:highlight w:val="none"/>
              </w:rPr>
              <w:t>铜管制作，长度160mm</w:t>
            </w:r>
            <w:r>
              <w:rPr>
                <w:rFonts w:hint="eastAsia" w:ascii="宋体" w:hAnsi="宋体" w:cs="宋体"/>
                <w:bCs/>
                <w:szCs w:val="21"/>
                <w:highlight w:val="none"/>
                <w:shd w:val="clear" w:color="auto" w:fill="FFFFFF"/>
              </w:rPr>
              <w:t>±10%</w:t>
            </w:r>
            <w:r>
              <w:rPr>
                <w:rFonts w:hint="eastAsia" w:ascii="宋体" w:hAnsi="宋体" w:cs="宋体"/>
                <w:bCs/>
                <w:szCs w:val="21"/>
                <w:highlight w:val="none"/>
              </w:rPr>
              <w:t>，支杆固定在铜丝网的两端及中心位置；支座采用工程塑料制作，底座不少于3个，底座底径Φ40mm</w:t>
            </w:r>
            <w:r>
              <w:rPr>
                <w:rFonts w:hint="eastAsia" w:ascii="宋体" w:hAnsi="宋体" w:cs="宋体"/>
                <w:bCs/>
                <w:szCs w:val="21"/>
                <w:highlight w:val="none"/>
                <w:shd w:val="clear" w:color="auto" w:fill="FFFFFF"/>
              </w:rPr>
              <w:t>±10%</w:t>
            </w:r>
            <w:r>
              <w:rPr>
                <w:rFonts w:hint="eastAsia" w:ascii="宋体" w:hAnsi="宋体" w:cs="宋体"/>
                <w:bCs/>
                <w:szCs w:val="21"/>
                <w:highlight w:val="none"/>
              </w:rPr>
              <w:t>，高度28mm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尖形布电器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主体采用金属材质，由一个圆柱形和锥形焊接而成，规格：Φ70mm</w:t>
            </w:r>
            <w:r>
              <w:rPr>
                <w:rFonts w:hint="eastAsia" w:ascii="宋体" w:hAnsi="宋体" w:cs="宋体"/>
                <w:bCs/>
                <w:szCs w:val="21"/>
                <w:highlight w:val="none"/>
                <w:shd w:val="clear" w:color="auto" w:fill="FFFFFF"/>
              </w:rPr>
              <w:t>±10%</w:t>
            </w:r>
            <w:r>
              <w:rPr>
                <w:rFonts w:hint="eastAsia" w:ascii="宋体" w:hAnsi="宋体" w:cs="宋体"/>
                <w:bCs/>
                <w:szCs w:val="21"/>
                <w:highlight w:val="none"/>
              </w:rPr>
              <w:t>×160mm</w:t>
            </w:r>
            <w:r>
              <w:rPr>
                <w:rFonts w:hint="eastAsia" w:ascii="宋体" w:hAnsi="宋体" w:cs="宋体"/>
                <w:bCs/>
                <w:szCs w:val="21"/>
                <w:highlight w:val="none"/>
                <w:shd w:val="clear" w:color="auto" w:fill="FFFFFF"/>
              </w:rPr>
              <w:t>±10%</w:t>
            </w:r>
            <w:r>
              <w:rPr>
                <w:rFonts w:hint="eastAsia" w:ascii="宋体" w:hAnsi="宋体" w:cs="宋体"/>
                <w:bCs/>
                <w:szCs w:val="21"/>
                <w:highlight w:val="none"/>
              </w:rPr>
              <w:t>，塑料底座，中间用塑料支杆连接，整体高200mm</w:t>
            </w:r>
            <w:r>
              <w:rPr>
                <w:rFonts w:hint="eastAsia" w:ascii="宋体" w:hAnsi="宋体" w:cs="宋体"/>
                <w:bCs/>
                <w:szCs w:val="21"/>
                <w:highlight w:val="none"/>
                <w:shd w:val="clear" w:color="auto" w:fill="FFFFFF"/>
              </w:rPr>
              <w:t>±10%。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正负电荷检验器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可检验摩擦起电的电荷、电容等带电体的正负，以及演示静电感应。检验器的探头为金属制品，表面镀铬处理，检验器上的红灯指示为正电荷，绿灯指示为负电荷。</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静电实验箱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避雷针原理、静电屏蔽、静电除尘、静电植绒、静电乒乓、静电转轮等；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平行板电容器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由两块圆形铝板、绝缘板一块、支杆、底脚构成。铝板和绝缘板直径应相同，直径220mm</w:t>
            </w:r>
            <w:r>
              <w:rPr>
                <w:rFonts w:hint="eastAsia" w:ascii="宋体" w:hAnsi="宋体" w:cs="宋体"/>
                <w:bCs/>
                <w:szCs w:val="21"/>
                <w:highlight w:val="none"/>
                <w:shd w:val="clear" w:color="auto" w:fill="FFFFFF"/>
              </w:rPr>
              <w:t>±10%</w:t>
            </w:r>
            <w:r>
              <w:rPr>
                <w:rFonts w:hint="eastAsia" w:ascii="宋体" w:hAnsi="宋体" w:cs="宋体"/>
                <w:bCs/>
                <w:szCs w:val="21"/>
                <w:highlight w:val="none"/>
              </w:rPr>
              <w:t>，厚1mm</w:t>
            </w:r>
            <w:r>
              <w:rPr>
                <w:rFonts w:hint="eastAsia" w:ascii="宋体" w:hAnsi="宋体" w:cs="宋体"/>
                <w:bCs/>
                <w:szCs w:val="21"/>
                <w:highlight w:val="none"/>
                <w:shd w:val="clear" w:color="auto" w:fill="FFFFFF"/>
              </w:rPr>
              <w:t>±10%，</w:t>
            </w:r>
            <w:r>
              <w:rPr>
                <w:rFonts w:hint="eastAsia" w:ascii="宋体" w:hAnsi="宋体" w:cs="宋体"/>
                <w:bCs/>
                <w:szCs w:val="21"/>
                <w:highlight w:val="none"/>
              </w:rPr>
              <w:t>绝缘板手柄采用透明有机玻璃制，直径15mm</w:t>
            </w:r>
            <w:r>
              <w:rPr>
                <w:rFonts w:hint="eastAsia" w:ascii="宋体" w:hAnsi="宋体" w:cs="宋体"/>
                <w:bCs/>
                <w:szCs w:val="21"/>
                <w:highlight w:val="none"/>
                <w:shd w:val="clear" w:color="auto" w:fill="FFFFFF"/>
              </w:rPr>
              <w:t>±10%</w:t>
            </w:r>
            <w:r>
              <w:rPr>
                <w:rFonts w:hint="eastAsia" w:ascii="宋体" w:hAnsi="宋体" w:cs="宋体"/>
                <w:bCs/>
                <w:szCs w:val="21"/>
                <w:highlight w:val="none"/>
              </w:rPr>
              <w:t>，长115mm</w:t>
            </w:r>
            <w:r>
              <w:rPr>
                <w:rFonts w:hint="eastAsia" w:ascii="宋体" w:hAnsi="宋体" w:cs="宋体"/>
                <w:bCs/>
                <w:szCs w:val="21"/>
                <w:highlight w:val="none"/>
                <w:shd w:val="clear" w:color="auto" w:fill="FFFFFF"/>
              </w:rPr>
              <w:t>±10%，</w:t>
            </w:r>
            <w:r>
              <w:rPr>
                <w:rFonts w:hint="eastAsia" w:ascii="宋体" w:hAnsi="宋体" w:cs="宋体"/>
                <w:bCs/>
                <w:szCs w:val="21"/>
                <w:highlight w:val="none"/>
              </w:rPr>
              <w:t>铝板支杆采用透明有机玻璃制，直径12mm</w:t>
            </w:r>
            <w:r>
              <w:rPr>
                <w:rFonts w:hint="eastAsia" w:ascii="宋体" w:hAnsi="宋体" w:cs="宋体"/>
                <w:bCs/>
                <w:szCs w:val="21"/>
                <w:highlight w:val="none"/>
                <w:shd w:val="clear" w:color="auto" w:fill="FFFFFF"/>
              </w:rPr>
              <w:t>±10%</w:t>
            </w:r>
            <w:r>
              <w:rPr>
                <w:rFonts w:hint="eastAsia" w:ascii="宋体" w:hAnsi="宋体" w:cs="宋体"/>
                <w:bCs/>
                <w:szCs w:val="21"/>
                <w:highlight w:val="none"/>
              </w:rPr>
              <w:t>、长70mm</w:t>
            </w:r>
            <w:r>
              <w:rPr>
                <w:rFonts w:hint="eastAsia" w:ascii="宋体" w:hAnsi="宋体" w:cs="宋体"/>
                <w:bCs/>
                <w:szCs w:val="21"/>
                <w:highlight w:val="none"/>
                <w:shd w:val="clear" w:color="auto" w:fill="FFFFFF"/>
              </w:rPr>
              <w:t>±10%</w:t>
            </w:r>
            <w:r>
              <w:rPr>
                <w:rFonts w:hint="eastAsia" w:ascii="宋体" w:hAnsi="宋体" w:cs="宋体"/>
                <w:bCs/>
                <w:szCs w:val="21"/>
                <w:highlight w:val="none"/>
              </w:rPr>
              <w:t>，底脚为大半圆形，直径90mm</w:t>
            </w:r>
            <w:r>
              <w:rPr>
                <w:rFonts w:hint="eastAsia" w:ascii="宋体" w:hAnsi="宋体" w:cs="宋体"/>
                <w:bCs/>
                <w:szCs w:val="21"/>
                <w:highlight w:val="none"/>
                <w:shd w:val="clear" w:color="auto" w:fill="FFFFFF"/>
              </w:rPr>
              <w:t>±10%</w:t>
            </w:r>
            <w:r>
              <w:rPr>
                <w:rFonts w:hint="eastAsia" w:ascii="宋体" w:hAnsi="宋体" w:cs="宋体"/>
                <w:bCs/>
                <w:szCs w:val="21"/>
                <w:highlight w:val="none"/>
              </w:rPr>
              <w:t>，内有配重。</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常用电容示教板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电解电容器、云母电容器、陶瓷电容器；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电容器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包括“250V 4700μF”电容一只和一个可拆开的纸质电容器；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金属网罩</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由金属网罩、金属底盘、底座及连接器等组成。金属网罩采用直径0.9mm</w:t>
            </w:r>
            <w:r>
              <w:rPr>
                <w:rFonts w:hint="eastAsia" w:ascii="宋体" w:hAnsi="宋体" w:cs="宋体"/>
                <w:bCs/>
                <w:szCs w:val="21"/>
                <w:highlight w:val="none"/>
                <w:shd w:val="clear" w:color="auto" w:fill="FFFFFF"/>
              </w:rPr>
              <w:t>±10%</w:t>
            </w:r>
            <w:r>
              <w:rPr>
                <w:rFonts w:hint="eastAsia" w:ascii="宋体" w:hAnsi="宋体" w:cs="宋体"/>
                <w:bCs/>
                <w:szCs w:val="21"/>
                <w:highlight w:val="none"/>
              </w:rPr>
              <w:t>的镀锌铁丝编制而成，外径200mm</w:t>
            </w:r>
            <w:r>
              <w:rPr>
                <w:rFonts w:hint="eastAsia" w:ascii="宋体" w:hAnsi="宋体" w:cs="宋体"/>
                <w:bCs/>
                <w:szCs w:val="21"/>
                <w:highlight w:val="none"/>
                <w:shd w:val="clear" w:color="auto" w:fill="FFFFFF"/>
              </w:rPr>
              <w:t>±10%</w:t>
            </w:r>
            <w:r>
              <w:rPr>
                <w:rFonts w:hint="eastAsia" w:ascii="宋体" w:hAnsi="宋体" w:cs="宋体"/>
                <w:bCs/>
                <w:szCs w:val="21"/>
                <w:highlight w:val="none"/>
              </w:rPr>
              <w:t>，高230mm</w:t>
            </w:r>
            <w:r>
              <w:rPr>
                <w:rFonts w:hint="eastAsia" w:ascii="宋体" w:hAnsi="宋体" w:cs="宋体"/>
                <w:bCs/>
                <w:szCs w:val="21"/>
                <w:highlight w:val="none"/>
                <w:shd w:val="clear" w:color="auto" w:fill="FFFFFF"/>
              </w:rPr>
              <w:t>±10%,</w:t>
            </w:r>
            <w:r>
              <w:rPr>
                <w:rFonts w:hint="eastAsia" w:ascii="宋体" w:hAnsi="宋体" w:cs="宋体"/>
                <w:bCs/>
                <w:szCs w:val="21"/>
                <w:highlight w:val="none"/>
              </w:rPr>
              <w:t>金属底盘采用厚0.4mm</w:t>
            </w:r>
            <w:r>
              <w:rPr>
                <w:rFonts w:hint="eastAsia" w:ascii="宋体" w:hAnsi="宋体" w:cs="宋体"/>
                <w:bCs/>
                <w:szCs w:val="21"/>
                <w:highlight w:val="none"/>
                <w:shd w:val="clear" w:color="auto" w:fill="FFFFFF"/>
              </w:rPr>
              <w:t>±10%</w:t>
            </w:r>
            <w:r>
              <w:rPr>
                <w:rFonts w:hint="eastAsia" w:ascii="宋体" w:hAnsi="宋体" w:cs="宋体"/>
                <w:bCs/>
                <w:szCs w:val="21"/>
                <w:highlight w:val="none"/>
              </w:rPr>
              <w:t>镀锌板冲压成型，直径220mm</w:t>
            </w:r>
            <w:r>
              <w:rPr>
                <w:rFonts w:hint="eastAsia" w:ascii="宋体" w:hAnsi="宋体" w:cs="宋体"/>
                <w:bCs/>
                <w:szCs w:val="21"/>
                <w:highlight w:val="none"/>
                <w:shd w:val="clear" w:color="auto" w:fill="FFFFFF"/>
              </w:rPr>
              <w:t>±10%，</w:t>
            </w:r>
            <w:r>
              <w:rPr>
                <w:rFonts w:hint="eastAsia" w:ascii="宋体" w:hAnsi="宋体" w:cs="宋体"/>
                <w:bCs/>
                <w:szCs w:val="21"/>
                <w:highlight w:val="none"/>
              </w:rPr>
              <w:t>底座采用塑料注塑成型，直径100mm</w:t>
            </w:r>
            <w:r>
              <w:rPr>
                <w:rFonts w:hint="eastAsia" w:ascii="宋体" w:hAnsi="宋体" w:cs="宋体"/>
                <w:bCs/>
                <w:szCs w:val="21"/>
                <w:highlight w:val="none"/>
                <w:shd w:val="clear" w:color="auto" w:fill="FFFFFF"/>
              </w:rPr>
              <w:t>±10%，</w:t>
            </w:r>
            <w:r>
              <w:rPr>
                <w:rFonts w:hint="eastAsia" w:ascii="宋体" w:hAnsi="宋体" w:cs="宋体"/>
                <w:bCs/>
                <w:szCs w:val="21"/>
                <w:highlight w:val="none"/>
              </w:rPr>
              <w:t>连接器为全金属制，由直径14mm</w:t>
            </w:r>
            <w:r>
              <w:rPr>
                <w:rFonts w:hint="eastAsia" w:ascii="宋体" w:hAnsi="宋体" w:cs="宋体"/>
                <w:bCs/>
                <w:szCs w:val="21"/>
                <w:highlight w:val="none"/>
                <w:shd w:val="clear" w:color="auto" w:fill="FFFFFF"/>
              </w:rPr>
              <w:t>±10%</w:t>
            </w:r>
            <w:r>
              <w:rPr>
                <w:rFonts w:hint="eastAsia" w:ascii="宋体" w:hAnsi="宋体" w:cs="宋体"/>
                <w:bCs/>
                <w:szCs w:val="21"/>
                <w:highlight w:val="none"/>
              </w:rPr>
              <w:t>钢球、直径5mm</w:t>
            </w:r>
            <w:r>
              <w:rPr>
                <w:rFonts w:hint="eastAsia" w:ascii="宋体" w:hAnsi="宋体" w:cs="宋体"/>
                <w:bCs/>
                <w:szCs w:val="21"/>
                <w:highlight w:val="none"/>
                <w:shd w:val="clear" w:color="auto" w:fill="FFFFFF"/>
              </w:rPr>
              <w:t>±10%</w:t>
            </w:r>
            <w:r>
              <w:rPr>
                <w:rFonts w:hint="eastAsia" w:ascii="宋体" w:hAnsi="宋体" w:cs="宋体"/>
                <w:bCs/>
                <w:szCs w:val="21"/>
                <w:highlight w:val="none"/>
              </w:rPr>
              <w:t>金属杆、金属吊链及限位柱构成，金属表面电镀处理。</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电场线演示器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五块电场线演示板组成，分别为单点电极演示板、双点电极演示板、平行板电极演示板、环形电极演示板、尖形导体演示板。演示板采用透明材料制作，由盒座和盒盖组成，盒座内注满机油和适量发屑后与盒盖密封良好，五块演示板外形尺寸为95mm</w:t>
            </w:r>
            <w:r>
              <w:rPr>
                <w:rFonts w:hint="eastAsia" w:ascii="宋体" w:hAnsi="宋体" w:cs="宋体"/>
                <w:bCs/>
                <w:szCs w:val="21"/>
                <w:highlight w:val="none"/>
                <w:shd w:val="clear" w:color="auto" w:fill="FFFFFF"/>
              </w:rPr>
              <w:t>±10%</w:t>
            </w:r>
            <w:r>
              <w:rPr>
                <w:rFonts w:hint="eastAsia" w:ascii="宋体" w:hAnsi="宋体" w:cs="宋体"/>
                <w:bCs/>
                <w:szCs w:val="21"/>
                <w:highlight w:val="none"/>
              </w:rPr>
              <w:t>×80mm</w:t>
            </w:r>
            <w:r>
              <w:rPr>
                <w:rFonts w:hint="eastAsia" w:ascii="宋体" w:hAnsi="宋体" w:cs="宋体"/>
                <w:bCs/>
                <w:szCs w:val="21"/>
                <w:highlight w:val="none"/>
                <w:shd w:val="clear" w:color="auto" w:fill="FFFFFF"/>
              </w:rPr>
              <w:t>±10%</w:t>
            </w:r>
            <w:r>
              <w:rPr>
                <w:rFonts w:hint="eastAsia" w:ascii="宋体" w:hAnsi="宋体" w:cs="宋体"/>
                <w:bCs/>
                <w:szCs w:val="21"/>
                <w:highlight w:val="none"/>
              </w:rPr>
              <w:t>×6.5mm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滑动变阻器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200Ω，1.25A；</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常用电阻器示教板</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定制电阻(碳膜电阻、金属膜电阻、绕线电阻、水泥电阻等)、可变电阻(电位器等)、特殊电阻(热敏电阻、光敏电阻等)；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电阻定律演示器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电学仪器，供中学演示金属导体电阻定律用。木质底板尺寸：1050mm</w:t>
            </w:r>
            <w:r>
              <w:rPr>
                <w:rFonts w:hint="eastAsia" w:ascii="宋体" w:hAnsi="宋体" w:cs="宋体"/>
                <w:bCs/>
                <w:szCs w:val="21"/>
                <w:highlight w:val="none"/>
                <w:shd w:val="clear" w:color="auto" w:fill="FFFFFF"/>
              </w:rPr>
              <w:t>±10%</w:t>
            </w:r>
            <w:r>
              <w:rPr>
                <w:rFonts w:hint="eastAsia" w:ascii="宋体" w:hAnsi="宋体" w:cs="宋体"/>
                <w:bCs/>
                <w:szCs w:val="21"/>
                <w:highlight w:val="none"/>
              </w:rPr>
              <w:t>×130mm</w:t>
            </w:r>
            <w:r>
              <w:rPr>
                <w:rFonts w:hint="eastAsia" w:ascii="宋体" w:hAnsi="宋体" w:cs="宋体"/>
                <w:bCs/>
                <w:szCs w:val="21"/>
                <w:highlight w:val="none"/>
                <w:shd w:val="clear" w:color="auto" w:fill="FFFFFF"/>
              </w:rPr>
              <w:t>±10%</w:t>
            </w:r>
            <w:r>
              <w:rPr>
                <w:rFonts w:hint="eastAsia" w:ascii="宋体" w:hAnsi="宋体" w:cs="宋体"/>
                <w:bCs/>
                <w:szCs w:val="21"/>
                <w:highlight w:val="none"/>
              </w:rPr>
              <w:t>×15mm</w:t>
            </w:r>
            <w:r>
              <w:rPr>
                <w:rFonts w:hint="eastAsia" w:ascii="宋体" w:hAnsi="宋体" w:cs="宋体"/>
                <w:bCs/>
                <w:szCs w:val="21"/>
                <w:highlight w:val="none"/>
                <w:shd w:val="clear" w:color="auto" w:fill="FFFFFF"/>
              </w:rPr>
              <w:t>±10%</w:t>
            </w:r>
            <w:r>
              <w:rPr>
                <w:rFonts w:hint="eastAsia" w:ascii="宋体" w:hAnsi="宋体" w:cs="宋体"/>
                <w:bCs/>
                <w:szCs w:val="21"/>
                <w:highlight w:val="none"/>
              </w:rPr>
              <w:t>， 三种金属导线，分别为：铜丝（Φ0.5mm</w:t>
            </w:r>
            <w:r>
              <w:rPr>
                <w:rFonts w:hint="eastAsia" w:ascii="宋体" w:hAnsi="宋体" w:cs="宋体"/>
                <w:bCs/>
                <w:szCs w:val="21"/>
                <w:highlight w:val="none"/>
                <w:shd w:val="clear" w:color="auto" w:fill="FFFFFF"/>
              </w:rPr>
              <w:t>±10%</w:t>
            </w:r>
            <w:r>
              <w:rPr>
                <w:rFonts w:hint="eastAsia" w:ascii="宋体" w:hAnsi="宋体" w:cs="宋体"/>
                <w:bCs/>
                <w:szCs w:val="21"/>
                <w:highlight w:val="none"/>
              </w:rPr>
              <w:t>），铁丝（Φ0.5mm</w:t>
            </w:r>
            <w:r>
              <w:rPr>
                <w:rFonts w:hint="eastAsia" w:ascii="宋体" w:hAnsi="宋体" w:cs="宋体"/>
                <w:bCs/>
                <w:szCs w:val="21"/>
                <w:highlight w:val="none"/>
                <w:shd w:val="clear" w:color="auto" w:fill="FFFFFF"/>
              </w:rPr>
              <w:t>±10%</w:t>
            </w:r>
            <w:r>
              <w:rPr>
                <w:rFonts w:hint="eastAsia" w:ascii="宋体" w:hAnsi="宋体" w:cs="宋体"/>
                <w:bCs/>
                <w:szCs w:val="21"/>
                <w:highlight w:val="none"/>
              </w:rPr>
              <w:t>），镍铬丝（Φ0.5mm</w:t>
            </w:r>
            <w:r>
              <w:rPr>
                <w:rFonts w:hint="eastAsia" w:ascii="宋体" w:hAnsi="宋体" w:cs="宋体"/>
                <w:bCs/>
                <w:szCs w:val="21"/>
                <w:highlight w:val="none"/>
                <w:shd w:val="clear" w:color="auto" w:fill="FFFFFF"/>
              </w:rPr>
              <w:t>±10%</w:t>
            </w:r>
            <w:r>
              <w:rPr>
                <w:rFonts w:hint="eastAsia" w:ascii="宋体" w:hAnsi="宋体" w:cs="宋体"/>
                <w:bCs/>
                <w:szCs w:val="21"/>
                <w:highlight w:val="none"/>
              </w:rPr>
              <w:t>）2个组成，三种线的有效长度1000mm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演示微电流表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指针式内磁结构及其测量电路等部分组成；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气压式可调内阻电池</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由透明电池盒、带电极的电池盖、鳄鱼夹、软管、注射器等组成；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菱形小磁针</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16个/套；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翼形磁针</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有垂直翼形针体和支座两部分，一对装，磁针长度140mm</w:t>
            </w:r>
            <w:r>
              <w:rPr>
                <w:rFonts w:hint="eastAsia" w:ascii="宋体" w:hAnsi="宋体" w:cs="宋体"/>
                <w:bCs/>
                <w:szCs w:val="21"/>
                <w:highlight w:val="none"/>
                <w:shd w:val="clear" w:color="auto" w:fill="FFFFFF"/>
              </w:rPr>
              <w:t>±10%</w:t>
            </w:r>
            <w:r>
              <w:rPr>
                <w:rFonts w:hint="eastAsia" w:ascii="宋体" w:hAnsi="宋体" w:cs="宋体"/>
                <w:bCs/>
                <w:szCs w:val="21"/>
                <w:highlight w:val="none"/>
              </w:rPr>
              <w:t>、宽8mm</w:t>
            </w:r>
            <w:r>
              <w:rPr>
                <w:rFonts w:hint="eastAsia" w:ascii="宋体" w:hAnsi="宋体" w:cs="宋体"/>
                <w:bCs/>
                <w:szCs w:val="21"/>
                <w:highlight w:val="none"/>
                <w:shd w:val="clear" w:color="auto" w:fill="FFFFFF"/>
              </w:rPr>
              <w:t>±10%</w:t>
            </w:r>
            <w:r>
              <w:rPr>
                <w:rFonts w:hint="eastAsia" w:ascii="宋体" w:hAnsi="宋体" w:cs="宋体"/>
                <w:bCs/>
                <w:szCs w:val="21"/>
                <w:highlight w:val="none"/>
              </w:rPr>
              <w:t>，塑料底座直径70mm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条形强磁体</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磁感应强度≥0.8T；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蹄形强磁体</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磁感应强度≥0.8T；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强磁针</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高磁能积磁体；</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反冲运动演示器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有两种或以上表现形式；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碰撞实验器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由轨道、小平轴、水平固定螺丝、C形夹、档球板、支球柱、玻璃靶球、钢球、重锤等组成。轨道应采用铝形材加工制成，表面烤漆处理；C形夹夹持范围不小于40mm；钢球和玻璃球直径16mm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动量传递演示器(碰撞球)</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不小于5球；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弹簧振子振动图像描绘器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自动稳定走纸；</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单摆组</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不少于5个摆球；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单摆运动规律演示器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T型立柱：立柱顶端装一横杆，横杆两头设两个悬点，供悬挂二个单摆使用；圆盘座：Φ250mm</w:t>
            </w:r>
            <w:r>
              <w:rPr>
                <w:rFonts w:hint="eastAsia" w:ascii="宋体" w:hAnsi="宋体" w:cs="宋体"/>
                <w:bCs/>
                <w:szCs w:val="21"/>
                <w:highlight w:val="none"/>
                <w:shd w:val="clear" w:color="auto" w:fill="FFFFFF"/>
              </w:rPr>
              <w:t>±10%</w:t>
            </w:r>
            <w:r>
              <w:rPr>
                <w:rFonts w:hint="eastAsia" w:ascii="宋体" w:hAnsi="宋体" w:cs="宋体"/>
                <w:bCs/>
                <w:szCs w:val="21"/>
                <w:highlight w:val="none"/>
              </w:rPr>
              <w:t>，中心铁质圆柱（Φ42mm</w:t>
            </w:r>
            <w:r>
              <w:rPr>
                <w:rFonts w:hint="eastAsia" w:ascii="宋体" w:hAnsi="宋体" w:cs="宋体"/>
                <w:bCs/>
                <w:szCs w:val="21"/>
                <w:highlight w:val="none"/>
                <w:shd w:val="clear" w:color="auto" w:fill="FFFFFF"/>
              </w:rPr>
              <w:t>±10%</w:t>
            </w:r>
            <w:r>
              <w:rPr>
                <w:rFonts w:hint="eastAsia" w:ascii="宋体" w:hAnsi="宋体" w:cs="宋体"/>
                <w:bCs/>
                <w:szCs w:val="21"/>
                <w:highlight w:val="none"/>
              </w:rPr>
              <w:t>×8mm</w:t>
            </w:r>
            <w:r>
              <w:rPr>
                <w:rFonts w:hint="eastAsia" w:ascii="宋体" w:hAnsi="宋体" w:cs="宋体"/>
                <w:bCs/>
                <w:szCs w:val="21"/>
                <w:highlight w:val="none"/>
                <w:shd w:val="clear" w:color="auto" w:fill="FFFFFF"/>
              </w:rPr>
              <w:t>±10%</w:t>
            </w:r>
            <w:r>
              <w:rPr>
                <w:rFonts w:hint="eastAsia" w:ascii="宋体" w:hAnsi="宋体" w:cs="宋体"/>
                <w:bCs/>
                <w:szCs w:val="21"/>
                <w:highlight w:val="none"/>
              </w:rPr>
              <w:t>），底面三个螺钉；台夹、偏角标尺（塑料尺面）、偏角指针、摆球、空腔摆球、四通螺钉等。</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单摆振动图像演示器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低噪音直流电动机、画板、画笔、摆锤、电磁铁、开关、减速机构和摆长调节器组成。工作电压：DC6V；画板为长方形不透明的PVC塑料板；开关不少于两个，一个是电源总开关，一个是双掷开关，负责通断电磁铁和直流电机的电源，底座木质，尺寸：800mm</w:t>
            </w:r>
            <w:r>
              <w:rPr>
                <w:rFonts w:hint="eastAsia" w:ascii="宋体" w:hAnsi="宋体" w:cs="宋体"/>
                <w:bCs/>
                <w:szCs w:val="21"/>
                <w:highlight w:val="none"/>
                <w:shd w:val="clear" w:color="auto" w:fill="FFFFFF"/>
              </w:rPr>
              <w:t>±10%</w:t>
            </w:r>
            <w:r>
              <w:rPr>
                <w:rFonts w:hint="eastAsia" w:ascii="宋体" w:hAnsi="宋体" w:cs="宋体"/>
                <w:bCs/>
                <w:szCs w:val="21"/>
                <w:highlight w:val="none"/>
              </w:rPr>
              <w:t>×230mm</w:t>
            </w:r>
            <w:r>
              <w:rPr>
                <w:rFonts w:hint="eastAsia" w:ascii="宋体" w:hAnsi="宋体" w:cs="宋体"/>
                <w:bCs/>
                <w:szCs w:val="21"/>
                <w:highlight w:val="none"/>
                <w:shd w:val="clear" w:color="auto" w:fill="FFFFFF"/>
              </w:rPr>
              <w:t>±10%</w:t>
            </w:r>
            <w:r>
              <w:rPr>
                <w:rFonts w:hint="eastAsia" w:ascii="宋体" w:hAnsi="宋体" w:cs="宋体"/>
                <w:bCs/>
                <w:szCs w:val="21"/>
                <w:highlight w:val="none"/>
              </w:rPr>
              <w:t>×50mm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冲击摆实验器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由平衡锤、摆线调节器、指针、摆线、刻度板、摆块、入弹孔、弹丸、枪筒、枪栓、调节器、板机、底板、通棒构成。能演示不少于三种不同速度的弹丸。底板采用冷轧板冲压成型，表面烤漆处理，尺寸：400mm</w:t>
            </w:r>
            <w:r>
              <w:rPr>
                <w:rFonts w:hint="eastAsia" w:ascii="宋体" w:hAnsi="宋体" w:cs="宋体"/>
                <w:bCs/>
                <w:szCs w:val="21"/>
                <w:highlight w:val="none"/>
                <w:shd w:val="clear" w:color="auto" w:fill="FFFFFF"/>
              </w:rPr>
              <w:t>±10%</w:t>
            </w:r>
            <w:r>
              <w:rPr>
                <w:rFonts w:hint="eastAsia" w:ascii="宋体" w:hAnsi="宋体" w:cs="宋体"/>
                <w:bCs/>
                <w:szCs w:val="21"/>
                <w:highlight w:val="none"/>
              </w:rPr>
              <w:t>×115mm</w:t>
            </w:r>
            <w:r>
              <w:rPr>
                <w:rFonts w:hint="eastAsia" w:ascii="宋体" w:hAnsi="宋体" w:cs="宋体"/>
                <w:bCs/>
                <w:szCs w:val="21"/>
                <w:highlight w:val="none"/>
                <w:shd w:val="clear" w:color="auto" w:fill="FFFFFF"/>
              </w:rPr>
              <w:t>±10%</w:t>
            </w:r>
            <w:r>
              <w:rPr>
                <w:rFonts w:hint="eastAsia" w:ascii="宋体" w:hAnsi="宋体" w:cs="宋体"/>
                <w:bCs/>
                <w:szCs w:val="21"/>
                <w:highlight w:val="none"/>
              </w:rPr>
              <w:t>×14mm</w:t>
            </w:r>
            <w:r>
              <w:rPr>
                <w:rFonts w:hint="eastAsia" w:ascii="宋体" w:hAnsi="宋体" w:cs="宋体"/>
                <w:bCs/>
                <w:szCs w:val="21"/>
                <w:highlight w:val="none"/>
                <w:shd w:val="clear" w:color="auto" w:fill="FFFFFF"/>
              </w:rPr>
              <w:t>±10%</w:t>
            </w:r>
            <w:r>
              <w:rPr>
                <w:rFonts w:hint="eastAsia" w:ascii="宋体" w:hAnsi="宋体" w:cs="宋体"/>
                <w:bCs/>
                <w:szCs w:val="21"/>
                <w:highlight w:val="none"/>
              </w:rPr>
              <w:t>。刻度板采用冷板，表面烤白漆，表面丝印0-35度的角度刻线和摆块调节位置的参照线。仪器整体高度325mm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受迫振动和共振演示器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改变策动摆摆长，可分别使不少于5个摆长不同的单摆共振；</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发波水槽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机械振子型；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凹面镜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由面镜、镜框、支架、镜座组成；凹面镜的直径为100±2mm；焦距为65±10mm；基片采用普通玻璃制成；反射膜镀层应均匀，镜框、支架、镜座均为塑料结构，整机应有足够的稳度，镜面可前后移动；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凸面镜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面镜、镜框、支架、镜座（各1个）组成；凸面镜的直径为100±2mm；焦距为-65±10mm；基片采用普通玻璃制成；反射膜镀层应均匀，有牢固的保护层；镜框、支架、镜座均为塑料结构，整机应有足够的稳度；镜面可前后移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望远镜</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双筒，最大35倍；</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三棱镜</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由三棱镜、托架、支柱、底座等组成。三棱镜体外形为正三棱柱，边长25mm</w:t>
            </w:r>
            <w:r>
              <w:rPr>
                <w:rFonts w:hint="eastAsia" w:ascii="宋体" w:hAnsi="宋体" w:cs="宋体"/>
                <w:bCs/>
                <w:szCs w:val="21"/>
                <w:highlight w:val="none"/>
                <w:shd w:val="clear" w:color="auto" w:fill="FFFFFF"/>
              </w:rPr>
              <w:t>±10%</w:t>
            </w:r>
            <w:r>
              <w:rPr>
                <w:rFonts w:hint="eastAsia" w:ascii="宋体" w:hAnsi="宋体" w:cs="宋体"/>
                <w:bCs/>
                <w:szCs w:val="21"/>
                <w:highlight w:val="none"/>
              </w:rPr>
              <w:t>，相邻两角为60±0.5°，棱长80mm</w:t>
            </w:r>
            <w:r>
              <w:rPr>
                <w:rFonts w:hint="eastAsia" w:ascii="宋体" w:hAnsi="宋体" w:cs="宋体"/>
                <w:bCs/>
                <w:szCs w:val="21"/>
                <w:highlight w:val="none"/>
                <w:shd w:val="clear" w:color="auto" w:fill="FFFFFF"/>
              </w:rPr>
              <w:t>±10%</w:t>
            </w:r>
            <w:r>
              <w:rPr>
                <w:rFonts w:hint="eastAsia" w:ascii="宋体" w:hAnsi="宋体" w:cs="宋体"/>
                <w:bCs/>
                <w:szCs w:val="21"/>
                <w:highlight w:val="none"/>
              </w:rPr>
              <w:t>。三棱镜体能作任意方向的转动，并能停止在任意位置。</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光的偏振观察器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由起偏片、检偏片组成；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透镜及其应用实验器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由凸透镜、凹透镜、支架和底座组成。凹凸透镜直径46mm</w:t>
            </w:r>
            <w:r>
              <w:rPr>
                <w:rFonts w:hint="eastAsia" w:ascii="宋体" w:hAnsi="宋体" w:cs="宋体"/>
                <w:bCs/>
                <w:szCs w:val="21"/>
                <w:highlight w:val="none"/>
                <w:shd w:val="clear" w:color="auto" w:fill="FFFFFF"/>
              </w:rPr>
              <w:t>±10%</w:t>
            </w:r>
            <w:r>
              <w:rPr>
                <w:rFonts w:hint="eastAsia" w:ascii="宋体" w:hAnsi="宋体" w:cs="宋体"/>
                <w:bCs/>
                <w:szCs w:val="21"/>
                <w:highlight w:val="none"/>
              </w:rPr>
              <w:t>。塑料框架及支杆，支杆直径10mm</w:t>
            </w:r>
            <w:r>
              <w:rPr>
                <w:rFonts w:hint="eastAsia" w:ascii="宋体" w:hAnsi="宋体" w:cs="宋体"/>
                <w:bCs/>
                <w:szCs w:val="21"/>
                <w:highlight w:val="none"/>
                <w:shd w:val="clear" w:color="auto" w:fill="FFFFFF"/>
              </w:rPr>
              <w:t>±10%</w:t>
            </w:r>
            <w:r>
              <w:rPr>
                <w:rFonts w:hint="eastAsia" w:ascii="宋体" w:hAnsi="宋体" w:cs="宋体"/>
                <w:bCs/>
                <w:szCs w:val="21"/>
                <w:highlight w:val="none"/>
              </w:rPr>
              <w:t>、长54mm</w:t>
            </w:r>
            <w:r>
              <w:rPr>
                <w:rFonts w:hint="eastAsia" w:ascii="宋体" w:hAnsi="宋体" w:cs="宋体"/>
                <w:bCs/>
                <w:szCs w:val="21"/>
                <w:highlight w:val="none"/>
                <w:shd w:val="clear" w:color="auto" w:fill="FFFFFF"/>
              </w:rPr>
              <w:t>±10%</w:t>
            </w:r>
            <w:r>
              <w:rPr>
                <w:rFonts w:hint="eastAsia" w:ascii="宋体" w:hAnsi="宋体" w:cs="宋体"/>
                <w:bCs/>
                <w:szCs w:val="21"/>
                <w:highlight w:val="none"/>
              </w:rPr>
              <w:t>。塑料底座直径64mm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演示原副线圈</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由演示原线圈、演示付线圈、铁芯三部分组成。2原线圈：内径13±0.5mm，外径22±1mm，直径0.59mm</w:t>
            </w:r>
            <w:r>
              <w:rPr>
                <w:rFonts w:hint="eastAsia" w:ascii="宋体" w:hAnsi="宋体" w:cs="宋体"/>
                <w:bCs/>
                <w:szCs w:val="21"/>
                <w:highlight w:val="none"/>
                <w:shd w:val="clear" w:color="auto" w:fill="FFFFFF"/>
              </w:rPr>
              <w:t>±10%</w:t>
            </w:r>
            <w:r>
              <w:rPr>
                <w:rFonts w:hint="eastAsia" w:ascii="宋体" w:hAnsi="宋体" w:cs="宋体"/>
                <w:bCs/>
                <w:szCs w:val="21"/>
                <w:highlight w:val="none"/>
              </w:rPr>
              <w:t>漆包线平绕，绕线长度63mm</w:t>
            </w:r>
            <w:r>
              <w:rPr>
                <w:rFonts w:hint="eastAsia" w:ascii="宋体" w:hAnsi="宋体" w:cs="宋体"/>
                <w:bCs/>
                <w:szCs w:val="21"/>
                <w:highlight w:val="none"/>
                <w:shd w:val="clear" w:color="auto" w:fill="FFFFFF"/>
              </w:rPr>
              <w:t>±10%</w:t>
            </w:r>
            <w:r>
              <w:rPr>
                <w:rFonts w:hint="eastAsia" w:ascii="宋体" w:hAnsi="宋体" w:cs="宋体"/>
                <w:bCs/>
                <w:szCs w:val="21"/>
                <w:highlight w:val="none"/>
              </w:rPr>
              <w:t>。副线圈：内径35±1mm，外径49±1mm，直径0.27mm</w:t>
            </w:r>
            <w:r>
              <w:rPr>
                <w:rFonts w:hint="eastAsia" w:ascii="宋体" w:hAnsi="宋体" w:cs="宋体"/>
                <w:bCs/>
                <w:szCs w:val="21"/>
                <w:highlight w:val="none"/>
                <w:shd w:val="clear" w:color="auto" w:fill="FFFFFF"/>
              </w:rPr>
              <w:t>±10%</w:t>
            </w:r>
            <w:r>
              <w:rPr>
                <w:rFonts w:hint="eastAsia" w:ascii="宋体" w:hAnsi="宋体" w:cs="宋体"/>
                <w:bCs/>
                <w:szCs w:val="21"/>
                <w:highlight w:val="none"/>
              </w:rPr>
              <w:t>漆包线平绕，绕线长度67mm</w:t>
            </w:r>
            <w:r>
              <w:rPr>
                <w:rFonts w:hint="eastAsia" w:ascii="宋体" w:hAnsi="宋体" w:cs="宋体"/>
                <w:bCs/>
                <w:szCs w:val="21"/>
                <w:highlight w:val="none"/>
                <w:shd w:val="clear" w:color="auto" w:fill="FFFFFF"/>
              </w:rPr>
              <w:t>±10%</w:t>
            </w:r>
            <w:r>
              <w:rPr>
                <w:rFonts w:hint="eastAsia" w:ascii="宋体" w:hAnsi="宋体" w:cs="宋体"/>
                <w:bCs/>
                <w:szCs w:val="21"/>
                <w:highlight w:val="none"/>
              </w:rPr>
              <w:t>。铁芯：Φ12mm</w:t>
            </w:r>
            <w:r>
              <w:rPr>
                <w:rFonts w:hint="eastAsia" w:ascii="宋体" w:hAnsi="宋体" w:cs="宋体"/>
                <w:bCs/>
                <w:szCs w:val="21"/>
                <w:highlight w:val="none"/>
                <w:shd w:val="clear" w:color="auto" w:fill="FFFFFF"/>
              </w:rPr>
              <w:t>±10%</w:t>
            </w:r>
            <w:r>
              <w:rPr>
                <w:rFonts w:hint="eastAsia" w:ascii="宋体" w:hAnsi="宋体" w:cs="宋体"/>
                <w:bCs/>
                <w:szCs w:val="21"/>
                <w:highlight w:val="none"/>
              </w:rPr>
              <w:t>；长度80mm</w:t>
            </w:r>
            <w:r>
              <w:rPr>
                <w:rFonts w:hint="eastAsia" w:ascii="宋体" w:hAnsi="宋体" w:cs="宋体"/>
                <w:bCs/>
                <w:szCs w:val="21"/>
                <w:highlight w:val="none"/>
                <w:shd w:val="clear" w:color="auto" w:fill="FFFFFF"/>
              </w:rPr>
              <w:t>±10%</w:t>
            </w:r>
            <w:r>
              <w:rPr>
                <w:rFonts w:hint="eastAsia" w:ascii="宋体" w:hAnsi="宋体" w:cs="宋体"/>
                <w:bCs/>
                <w:szCs w:val="21"/>
                <w:highlight w:val="none"/>
              </w:rPr>
              <w:t>。线圈骨架用黑色塑料制成，表面光洁，付线圈底座平整，直立于平面时不应晃动。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单匝线圈电机原理演示器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由底座、接线柱、转子、强磁铁等构成。底座尺寸不小于290mm×190mm。转子由支架、换向器、碳刷、转轴、线圈构成。支架为厚1.5mm</w:t>
            </w:r>
            <w:r>
              <w:rPr>
                <w:rFonts w:hint="eastAsia" w:ascii="宋体" w:hAnsi="宋体" w:cs="宋体"/>
                <w:bCs/>
                <w:szCs w:val="21"/>
                <w:highlight w:val="none"/>
                <w:shd w:val="clear" w:color="auto" w:fill="FFFFFF"/>
              </w:rPr>
              <w:t>±10%</w:t>
            </w:r>
            <w:r>
              <w:rPr>
                <w:rFonts w:hint="eastAsia" w:ascii="宋体" w:hAnsi="宋体" w:cs="宋体"/>
                <w:bCs/>
                <w:szCs w:val="21"/>
                <w:highlight w:val="none"/>
              </w:rPr>
              <w:t>冷轧板冲压成型，表面电镀处理；换向器为两个半圆铜环，内为绝缘芯；碳刷为厚不大于0.3mm磷铜加工制成；转轴为直径6mm</w:t>
            </w:r>
            <w:r>
              <w:rPr>
                <w:rFonts w:hint="eastAsia" w:ascii="宋体" w:hAnsi="宋体" w:cs="宋体"/>
                <w:bCs/>
                <w:szCs w:val="21"/>
                <w:highlight w:val="none"/>
                <w:shd w:val="clear" w:color="auto" w:fill="FFFFFF"/>
              </w:rPr>
              <w:t>±10%</w:t>
            </w:r>
            <w:r>
              <w:rPr>
                <w:rFonts w:hint="eastAsia" w:ascii="宋体" w:hAnsi="宋体" w:cs="宋体"/>
                <w:bCs/>
                <w:szCs w:val="21"/>
                <w:highlight w:val="none"/>
              </w:rPr>
              <w:t>，长不小于100mm铝棒加工制成；线圈为单股漆包线，直径为1mm</w:t>
            </w:r>
            <w:r>
              <w:rPr>
                <w:rFonts w:hint="eastAsia" w:ascii="宋体" w:hAnsi="宋体" w:cs="宋体"/>
                <w:bCs/>
                <w:szCs w:val="21"/>
                <w:highlight w:val="none"/>
                <w:shd w:val="clear" w:color="auto" w:fill="FFFFFF"/>
              </w:rPr>
              <w:t>±10%</w:t>
            </w:r>
            <w:r>
              <w:rPr>
                <w:rFonts w:hint="eastAsia" w:ascii="宋体" w:hAnsi="宋体" w:cs="宋体"/>
                <w:bCs/>
                <w:szCs w:val="21"/>
                <w:highlight w:val="none"/>
              </w:rPr>
              <w:t>，组成长方形的尺寸为65mm</w:t>
            </w:r>
            <w:r>
              <w:rPr>
                <w:rFonts w:hint="eastAsia" w:ascii="宋体" w:hAnsi="宋体" w:cs="宋体"/>
                <w:bCs/>
                <w:szCs w:val="21"/>
                <w:highlight w:val="none"/>
                <w:shd w:val="clear" w:color="auto" w:fill="FFFFFF"/>
              </w:rPr>
              <w:t>±10%</w:t>
            </w:r>
            <w:r>
              <w:rPr>
                <w:rFonts w:hint="eastAsia" w:ascii="宋体" w:hAnsi="宋体" w:cs="宋体"/>
                <w:bCs/>
                <w:szCs w:val="21"/>
                <w:highlight w:val="none"/>
              </w:rPr>
              <w:t>×45mm</w:t>
            </w:r>
            <w:r>
              <w:rPr>
                <w:rFonts w:hint="eastAsia" w:ascii="宋体" w:hAnsi="宋体" w:cs="宋体"/>
                <w:bCs/>
                <w:szCs w:val="21"/>
                <w:highlight w:val="none"/>
                <w:shd w:val="clear" w:color="auto" w:fill="FFFFFF"/>
              </w:rPr>
              <w:t>±10%</w:t>
            </w:r>
            <w:r>
              <w:rPr>
                <w:rFonts w:hint="eastAsia" w:ascii="宋体" w:hAnsi="宋体" w:cs="宋体"/>
                <w:bCs/>
                <w:szCs w:val="21"/>
                <w:highlight w:val="none"/>
              </w:rPr>
              <w:t>；强磁外形尺寸为70mm</w:t>
            </w:r>
            <w:r>
              <w:rPr>
                <w:rFonts w:hint="eastAsia" w:ascii="宋体" w:hAnsi="宋体" w:cs="宋体"/>
                <w:bCs/>
                <w:szCs w:val="21"/>
                <w:highlight w:val="none"/>
                <w:shd w:val="clear" w:color="auto" w:fill="FFFFFF"/>
              </w:rPr>
              <w:t>±10%</w:t>
            </w:r>
            <w:r>
              <w:rPr>
                <w:rFonts w:hint="eastAsia" w:ascii="宋体" w:hAnsi="宋体" w:cs="宋体"/>
                <w:bCs/>
                <w:szCs w:val="21"/>
                <w:highlight w:val="none"/>
              </w:rPr>
              <w:t>×30mm</w:t>
            </w:r>
            <w:r>
              <w:rPr>
                <w:rFonts w:hint="eastAsia" w:ascii="宋体" w:hAnsi="宋体" w:cs="宋体"/>
                <w:bCs/>
                <w:szCs w:val="21"/>
                <w:highlight w:val="none"/>
                <w:shd w:val="clear" w:color="auto" w:fill="FFFFFF"/>
              </w:rPr>
              <w:t>±10%</w:t>
            </w:r>
            <w:r>
              <w:rPr>
                <w:rFonts w:hint="eastAsia" w:ascii="宋体" w:hAnsi="宋体" w:cs="宋体"/>
                <w:bCs/>
                <w:szCs w:val="21"/>
                <w:highlight w:val="none"/>
              </w:rPr>
              <w:t>×15mm</w:t>
            </w:r>
            <w:r>
              <w:rPr>
                <w:rFonts w:hint="eastAsia" w:ascii="宋体" w:hAnsi="宋体" w:cs="宋体"/>
                <w:bCs/>
                <w:szCs w:val="21"/>
                <w:highlight w:val="none"/>
                <w:shd w:val="clear" w:color="auto" w:fill="FFFFFF"/>
              </w:rPr>
              <w:t>±10%，</w:t>
            </w:r>
            <w:r>
              <w:rPr>
                <w:rFonts w:hint="eastAsia" w:ascii="宋体" w:hAnsi="宋体" w:cs="宋体"/>
                <w:bCs/>
                <w:szCs w:val="21"/>
                <w:highlight w:val="none"/>
              </w:rPr>
              <w:t>磁场强度不低于0.07T。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手摇交直流发电机</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由底座、手摇转盘、转盘支架、钻子、磁铁、灯座、灯泡、皮带等组成；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电磁驱动演示器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由支架、旋转磁铁（强磁）铝框和可使铝框转动的顶针组成。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可拆变压器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单相芯式结构,铁芯以优质钢矽片冲制并经绝缘处理,U型铁芯及条形铁轭为可拆式。线圈骨架用塑料压制。可演示远距离输电、变压器效率，还可进行变压器初、次级线圈间电压和电流与匝数关系的定量演示。</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变压器原理说明器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由线圈、U形铁芯、条形铁辊、极掌、强阻尼摆、弱阻尼摆、摆架、示教板、感应线圈、铝环、低压小灯泡组成；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继电器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微型；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门电路和传感器应用实验箱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与门、或门、非门电路、干簧管、温度传感器、热敏电阻、光敏电阻、感温铁氧体、霍尔元件等应用实验。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热敏电阻</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常规，</w:t>
            </w:r>
            <w:r>
              <w:rPr>
                <w:rFonts w:hint="eastAsia" w:ascii="宋体" w:hAnsi="宋体" w:cs="宋体"/>
                <w:bCs/>
                <w:kern w:val="0"/>
                <w:szCs w:val="21"/>
                <w:highlight w:val="none"/>
                <w:lang w:bidi="ar"/>
              </w:rPr>
              <w:t>MF52型</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光敏电阻</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暗电阻≥1MΩ，亮电阻≤3K</w:t>
            </w:r>
            <w:r>
              <w:rPr>
                <w:rFonts w:hint="eastAsia" w:ascii="微软雅黑" w:hAnsi="微软雅黑" w:eastAsia="微软雅黑" w:cs="微软雅黑"/>
                <w:bCs/>
                <w:kern w:val="0"/>
                <w:szCs w:val="21"/>
                <w:highlight w:val="none"/>
                <w:lang w:bidi="ar"/>
              </w:rPr>
              <w:t>Ω</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油膜实验器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油酸、无水酒精、盛水盘、刻度板、石松粉、针筒等组成。盛水盘采用塑料注塑成型，盛液尺寸不小于245mm×245mm×30mm，并有刻度板限位机构；刻度板采用透明有机玻璃制成，刻度板表面印有刻线方格，最小方格为5mm，其中两个边上有毫米刻线，刻线清晰、无断线。</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油酸</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分析纯，实验用试剂，每瓶500ml；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液体表面张力实验器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由半球环、双环、棉线环、棉线圈环、金属框架、钢丝圈六件组成。半球环、双环、棉线圈环、金属框架采用Φ1.5mm</w:t>
            </w:r>
            <w:r>
              <w:rPr>
                <w:rFonts w:hint="eastAsia" w:ascii="宋体" w:hAnsi="宋体" w:cs="宋体"/>
                <w:bCs/>
                <w:szCs w:val="21"/>
                <w:highlight w:val="none"/>
                <w:shd w:val="clear" w:color="auto" w:fill="FFFFFF"/>
              </w:rPr>
              <w:t>±10%</w:t>
            </w:r>
            <w:r>
              <w:rPr>
                <w:rFonts w:hint="eastAsia" w:ascii="宋体" w:hAnsi="宋体" w:cs="宋体"/>
                <w:bCs/>
                <w:szCs w:val="21"/>
                <w:highlight w:val="none"/>
              </w:rPr>
              <w:t>钢丝制造，表面镀铬，手柄长度均不小于70mm。</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气体定律实验器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由注射器、胶帽和底座等组成，塑料制；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小灯泡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额定电压1.5V、2.5V、3.8V、6V各一盒（每盒25颗装）；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发光二极管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含红、黄、蓝、绿、白、5种颜色各10支；</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铜丝</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1.0mm</w:t>
            </w:r>
            <w:r>
              <w:rPr>
                <w:rFonts w:hint="eastAsia" w:ascii="宋体" w:hAnsi="宋体" w:cs="宋体"/>
                <w:bCs/>
                <w:szCs w:val="21"/>
                <w:highlight w:val="none"/>
                <w:shd w:val="clear" w:color="auto" w:fill="FFFFFF"/>
              </w:rPr>
              <w:t>±10%</w:t>
            </w:r>
            <w:r>
              <w:rPr>
                <w:rFonts w:hint="eastAsia" w:ascii="宋体" w:hAnsi="宋体" w:cs="宋体"/>
                <w:bCs/>
                <w:szCs w:val="21"/>
                <w:highlight w:val="none"/>
              </w:rPr>
              <w:t>纯铜丝；</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强磁体</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条形强磁体，规格：150mm</w:t>
            </w:r>
            <w:r>
              <w:rPr>
                <w:rFonts w:hint="eastAsia" w:ascii="宋体" w:hAnsi="宋体" w:cs="宋体"/>
                <w:bCs/>
                <w:szCs w:val="21"/>
                <w:highlight w:val="none"/>
                <w:shd w:val="clear" w:color="auto" w:fill="FFFFFF"/>
              </w:rPr>
              <w:t>±10%</w:t>
            </w:r>
            <w:r>
              <w:rPr>
                <w:rFonts w:hint="eastAsia" w:ascii="宋体" w:hAnsi="宋体" w:cs="宋体"/>
                <w:bCs/>
                <w:szCs w:val="21"/>
                <w:highlight w:val="none"/>
              </w:rPr>
              <w:t>*25mm</w:t>
            </w:r>
            <w:r>
              <w:rPr>
                <w:rFonts w:hint="eastAsia" w:ascii="宋体" w:hAnsi="宋体" w:cs="宋体"/>
                <w:bCs/>
                <w:szCs w:val="21"/>
                <w:highlight w:val="none"/>
                <w:shd w:val="clear" w:color="auto" w:fill="FFFFFF"/>
              </w:rPr>
              <w:t>±10%</w:t>
            </w:r>
            <w:r>
              <w:rPr>
                <w:rFonts w:hint="eastAsia" w:ascii="宋体" w:hAnsi="宋体" w:cs="宋体"/>
                <w:bCs/>
                <w:szCs w:val="21"/>
                <w:highlight w:val="none"/>
              </w:rPr>
              <w:t>*15mm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钕磁铁组</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圆形强力磁铁，直径20mm</w:t>
            </w:r>
            <w:r>
              <w:rPr>
                <w:rFonts w:hint="eastAsia" w:ascii="宋体" w:hAnsi="宋体" w:cs="宋体"/>
                <w:bCs/>
                <w:szCs w:val="21"/>
                <w:highlight w:val="none"/>
                <w:shd w:val="clear" w:color="auto" w:fill="FFFFFF"/>
              </w:rPr>
              <w:t>±10%</w:t>
            </w:r>
            <w:r>
              <w:rPr>
                <w:rFonts w:hint="eastAsia" w:ascii="宋体" w:hAnsi="宋体" w:cs="宋体"/>
                <w:bCs/>
                <w:szCs w:val="21"/>
                <w:highlight w:val="none"/>
              </w:rPr>
              <w:t>，厚5mm</w:t>
            </w:r>
            <w:r>
              <w:rPr>
                <w:rFonts w:hint="eastAsia" w:ascii="宋体" w:hAnsi="宋体" w:cs="宋体"/>
                <w:bCs/>
                <w:szCs w:val="21"/>
                <w:highlight w:val="none"/>
                <w:shd w:val="clear" w:color="auto" w:fill="FFFFFF"/>
              </w:rPr>
              <w:t>±10%</w:t>
            </w:r>
            <w:r>
              <w:rPr>
                <w:rFonts w:hint="eastAsia" w:ascii="宋体" w:hAnsi="宋体" w:cs="宋体"/>
                <w:bCs/>
                <w:szCs w:val="21"/>
                <w:highlight w:val="none"/>
              </w:rPr>
              <w:t>，每组5个；</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焊锡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99.3%无铅锡丝，线径0.5mm，100g/卷；</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器材收纳盒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可以手提，用于教师暂时存放演示器材；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充磁器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由底座、充磁线圈、电路装置及操作开关组成，可进行条形磁铁、梯形磁铁的充磁和消磁；</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抽气盘</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直径不小于180mm，附钟罩；</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抽气筒</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由工程塑料外壳、金属拉杆、塑料手柄、抽气针组成；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打气筒</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由气筒、软管、气嘴、固定脚圈、手柄组成，整体采用金属和塑料材料制；</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两用气筒</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由工程塑料外壳、金属拉杆、木质手柄组成，抽气和充气两用；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注射器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100mL；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透明盛液筒</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φ100mm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×300mm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透明水槽</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规格：400mm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×80mm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×100mm</w:t>
            </w:r>
            <w:r>
              <w:rPr>
                <w:rFonts w:hint="eastAsia" w:ascii="宋体" w:hAnsi="宋体" w:cs="宋体"/>
                <w:bCs/>
                <w:szCs w:val="21"/>
                <w:highlight w:val="none"/>
                <w:shd w:val="clear" w:color="auto" w:fill="FFFFFF"/>
              </w:rPr>
              <w:t>±10%</w:t>
            </w:r>
            <w:r>
              <w:rPr>
                <w:rFonts w:hint="eastAsia" w:ascii="宋体" w:hAnsi="宋体" w:cs="宋体"/>
                <w:bCs/>
                <w:kern w:val="0"/>
                <w:szCs w:val="21"/>
                <w:highlight w:val="none"/>
                <w:lang w:bidi="ar"/>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无水乙醇</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实验用试剂，每瓶500ml；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煤油</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实验用试剂，每瓶500ml；</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真空计</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测量范围：0.1Pa—650Pa，误差±20%；</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力传感器A</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量程：-20N~20N；塑料外壳，手柄式结构，可用于测拉力（显示正值）和压力（显示负值），可与学校原有采集器的有线通讯、无线通讯和独立数据显示三种工作方式。自带硬件调零按钮并支持硬件调零功能，自带M6螺纹孔，可与多种实验装置的组装固定。连接线插口具有方向性和自锁功能，可防止传感器脱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力传感器B</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量程：-50N~50N；塑料外壳，手柄式结构，可用于测拉力（显示正值）和压力（显示负值），可与学校原有采集器的有线通讯、无线通讯和独立数据显示三种工作方式。自带硬件调零按钮并支持硬件调零功能，自带M6螺纹孔，可与多种实验装置的组装固定。连接线插口具有方向性和自锁功能，可防止传感器脱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力传感器C</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测量范围：-50N~+50N ；分度：0.01N，直柄式结构，测量拉力时显示正值、压力时显示负值，可与学校原有采集器的有线通讯、无线通讯和独立数据显示三种工作方式；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力传感器D</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w:t>
            </w:r>
            <w:r>
              <w:rPr>
                <w:rStyle w:val="35"/>
                <w:rFonts w:hint="eastAsia" w:ascii="宋体" w:hAnsi="宋体" w:cs="宋体"/>
                <w:bCs/>
                <w:color w:val="auto"/>
                <w:highlight w:val="none"/>
                <w:lang w:bidi="ar"/>
              </w:rPr>
              <w:t>-50N~+50N</w:t>
            </w:r>
            <w:r>
              <w:rPr>
                <w:rFonts w:hint="eastAsia" w:ascii="宋体" w:hAnsi="宋体" w:cs="宋体"/>
                <w:bCs/>
                <w:kern w:val="0"/>
                <w:szCs w:val="21"/>
                <w:highlight w:val="none"/>
                <w:lang w:bidi="ar"/>
              </w:rPr>
              <w:t>；分度：</w:t>
            </w:r>
            <w:r>
              <w:rPr>
                <w:rStyle w:val="35"/>
                <w:rFonts w:hint="eastAsia" w:ascii="宋体" w:hAnsi="宋体" w:cs="宋体"/>
                <w:bCs/>
                <w:color w:val="auto"/>
                <w:highlight w:val="none"/>
                <w:lang w:bidi="ar"/>
              </w:rPr>
              <w:t>0.01N</w:t>
            </w:r>
            <w:r>
              <w:rPr>
                <w:rFonts w:hint="eastAsia" w:ascii="宋体" w:hAnsi="宋体" w:cs="宋体"/>
                <w:bCs/>
                <w:kern w:val="0"/>
                <w:szCs w:val="21"/>
                <w:highlight w:val="none"/>
                <w:lang w:bidi="ar"/>
              </w:rPr>
              <w:t>。直柄式结构，可测量拉力或压力，拉力读数为正值，压力读数为负值。支持硬件调零，独立数显方式，可与学校原有采集器的有线通讯</w:t>
            </w:r>
            <w:r>
              <w:rPr>
                <w:rStyle w:val="35"/>
                <w:rFonts w:hint="eastAsia" w:ascii="宋体" w:hAnsi="宋体" w:cs="宋体"/>
                <w:bCs/>
                <w:color w:val="auto"/>
                <w:highlight w:val="none"/>
                <w:lang w:bidi="ar"/>
              </w:rPr>
              <w:t>、</w:t>
            </w:r>
            <w:r>
              <w:rPr>
                <w:rFonts w:hint="eastAsia" w:ascii="宋体" w:hAnsi="宋体" w:cs="宋体"/>
                <w:bCs/>
                <w:kern w:val="0"/>
                <w:szCs w:val="21"/>
                <w:highlight w:val="none"/>
                <w:lang w:bidi="ar"/>
              </w:rPr>
              <w:t>无线通讯方式。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力倾角传感器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测量范围：-20N~+20N/-180°~+180°；分度：0.01N/0.1°；直柄式结构，同时可测力及两个方向的倾角数据；测力时拉力显示正值、压力显示负值；可与学校原有采集器有线通讯、无线通讯工作方式。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一体式位移传感器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测量范围：0.15m~6m，分度：1mm，可与学校原有采集器的有线通讯、无线通讯和独立数据显示三种工作方式.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小量程位移传感器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 ~50mm，分度：0.1mm，可与学校原有采集器的有线通讯、无线通讯和独立数据显示三种工作方式.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光电门传感器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可记录不透明物体挡光次数，塑料外壳，可与学校原有采集器的有线通讯、无线通讯工作方式，传感器自带M6螺纹孔，可与多种实验装置的组装固定。连接线插口具有方向性和自锁功能，可以防止传感器脱落。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温度传感器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测量范围：-50℃~+200℃；分度：0.1℃；不锈钢探针，可测各种物体或溶液的温度，可与学校原有采集器的有线通讯、无线通讯和独立数据显示三种工作方式。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快速温度传感器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测量范围：-20℃~+130℃；分度：0.1℃；能够快速响应温度的变化，支持与采集器的有线通讯、无线通讯和独立数据显示三种工作方式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高温传感器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测量范围：0~1200℃；分度：1℃；不锈钢探针，可测高温物体或火焰的温度，可与学校原有采集器的有线通讯、无线通讯和独立数据显示三种工作方式。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相对压强传感器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测量范围：-20kPa~+20kPa；分度：0.01 kPa；可用于测量气体的相对压强，可与学校原有采集器的有线通讯、无线通讯和独立数据显示三种工作方式。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双量程光照度传感器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 ～5000lx～50000lx，分度：1 lx、10 lx，通过按钮切换量程，可与学校原有采集器的有线通讯、无线通讯和独立数据显示三种工作方式。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电流传感器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测量范围：-3A~+3A；分度：0.01A，可与学校原有采集器的有线通讯、无线通讯和独立数据显示三种工作方式。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电压传感器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测量范围：-20V~20V；塑料外壳，连接插口具有方向性和自锁功能，可防止传感器脱落，可与数显模块和无线传输模块自由组合，支持热插拔，具有硬件清零功能，可与学校原有采集器配套使用。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多量程电流传感器</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测量范围：-2A~+2A，-200mA~+200mA，-20mA~+20mA；塑料外壳，连接插口具有方向性和自锁功能，可防止传感器脱落，可与数显模块和无线传输模块自由组合，支持热插拔，自带硬件按钮，单击切换量程，长按清零，</w:t>
            </w:r>
            <w:r>
              <w:rPr>
                <w:rFonts w:hint="eastAsia" w:ascii="宋体" w:hAnsi="宋体" w:cs="宋体"/>
                <w:bCs/>
                <w:kern w:val="0"/>
                <w:szCs w:val="21"/>
                <w:highlight w:val="none"/>
                <w:lang w:bidi="ar"/>
              </w:rPr>
              <w:t>可与学校原有</w:t>
            </w:r>
            <w:r>
              <w:rPr>
                <w:rFonts w:hint="eastAsia" w:ascii="宋体" w:hAnsi="宋体" w:cs="宋体"/>
                <w:bCs/>
                <w:szCs w:val="21"/>
                <w:highlight w:val="none"/>
              </w:rPr>
              <w:t>采集器配套使用。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频率传感器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测量范围：1Hz~1MHz；分度：1 Hz，用于测量交流电压信号。连接插口具有方向性和自锁功能，可以防止传感器脱落保证数据传输稳定，可与数显模块和无线传输模块自由组合，支持热插拔.</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静电计</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测量范围：-100nC~+100 nC；分度：1nC，用于测量静电电荷电量。自带5寸液晶显示屏，可独立使用并显示测量结果,也可通过无线传输方式与计算机进行通讯，显示屏与计算机可同时显示测量数据，自带锂电池。</w:t>
            </w:r>
          </w:p>
        </w:tc>
        <w:tc>
          <w:tcPr>
            <w:tcW w:w="554" w:type="pct"/>
            <w:vAlign w:val="center"/>
          </w:tcPr>
          <w:p>
            <w:pPr>
              <w:widowControl/>
              <w:spacing w:line="400" w:lineRule="exact"/>
              <w:jc w:val="center"/>
              <w:rPr>
                <w:rFonts w:ascii="宋体" w:hAnsi="宋体" w:cs="宋体"/>
                <w:bCs/>
                <w:kern w:val="0"/>
                <w:szCs w:val="21"/>
                <w:highlight w:val="none"/>
              </w:rPr>
            </w:pP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三维磁感应强度传感器</w:t>
            </w:r>
          </w:p>
        </w:tc>
        <w:tc>
          <w:tcPr>
            <w:tcW w:w="2866" w:type="pct"/>
            <w:vAlign w:val="center"/>
          </w:tcPr>
          <w:p>
            <w:pPr>
              <w:widowControl/>
              <w:numPr>
                <w:ilvl w:val="0"/>
                <w:numId w:val="4"/>
              </w:numPr>
              <w:spacing w:line="400" w:lineRule="exact"/>
              <w:jc w:val="left"/>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量程：-50mT~+50mT；分度：0.01mT。</w:t>
            </w:r>
          </w:p>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▲可测量三维空间的磁场分布，可显示x轴、y轴、z轴磁场数据，数据传输具有方向性和自锁功能的BT接口方式。</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19" w:name="OLE_LINK7"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电子罗盘传感器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测量范围：0~359°；分度：1°，可与学校原有采集器的有线通讯、无线通讯和独立数据显示三种工作方式。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G-M传感器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测量范围：0~40000次/分；用于测量β、γ粒子脉冲数，可与学校原有采集器的有线通讯、无线通讯工作方式。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三合一温度传感器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测量范围：-50℃~+200℃；分度：0.1℃。配有三个不锈钢温度探头，可同时测量各种物体三处不同点的温度。支持独立数显方式，可与学校原有采集器的有线通讯/无线通讯方式，或接驳无线发射与移动终端设备无线通讯。</w:t>
            </w:r>
          </w:p>
        </w:tc>
        <w:tc>
          <w:tcPr>
            <w:tcW w:w="554" w:type="pct"/>
            <w:vAlign w:val="center"/>
          </w:tcPr>
          <w:p>
            <w:pPr>
              <w:widowControl/>
              <w:spacing w:line="400" w:lineRule="exact"/>
              <w:jc w:val="center"/>
              <w:rPr>
                <w:rFonts w:ascii="宋体" w:hAnsi="宋体" w:cs="宋体"/>
                <w:bCs/>
                <w:kern w:val="0"/>
                <w:szCs w:val="21"/>
                <w:highlight w:val="none"/>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声波/声级传感器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声波频率测量范围：20Hz~20kHz，声级测量范围：20 dB ~120dB，分度：0.1dB；</w:t>
            </w:r>
          </w:p>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可通过传感器上按钮对数据进行调零；可通过传感器上按钮切换其测量的声音的表现形式，通过电脑可显示其测量的波形，按下切换按钮后，电脑可显示其测量的声音的声级，可有线、无线连接至电脑或平板电脑等设备进行数据显示，可独立显示数据。</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20" w:name="OLE_LINK6"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无线收发器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采用无线方式接入四种传感器并支持四通道并行采集，全数字通道，可与学校原有采集器接插使用。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传感器无线发射模块</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通过与各种传感器组合使之具备与采集器的无线通讯功能。BT自锁接头，支持热插拔连接，可充电电池供电。</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传感器配套装置</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具有无线发射模块、显示模块、转接模块。无线发射模块：通过二维码扫描与android系统，ios平台软件进行无线通讯，连接插口具有方向性和自锁功能，可防止传感器脱落，支持热插拔连接，可充电电池供电。显示模块：自带1.8寸（±0.1寸）彩屏，BT自锁接头，支持热插拔连接，接入任一可识别传感器，屏幕可显示该传感器的实时数据和单位并且显示数据应有变化，具备自锁功能防止传感器脱落，并且可与计算机直接通讯，可充电锂电池供电，模块具备保存数据的功能，可对保存的实验数据进行导出到计算机内、查看和处理数据，带二维码可以与安卓、苹果系统移动采集终端无线数据同步传。转接模块：两端BT接头与BT接口转换器，用于特种传感器与无线发射模块或数据显示模块的转接。</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多用力学轨道系统</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向心力实验器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主梁架、底座、砝码、旋臂、连接装置、紧固件等构成。自由旋转，不需电机驱动。主梁架上有安装力传感器和光电门传感器的固定位置，挡光杆能够顺利通过光电门并挡光；旋臂半径长145mm±3mm；垂直连杆应与其上方的螺栓同轴同心，垂直于旋臂且其水平投影点应与旋臂转动轴的轴心重合；挡光杆直径5mm±0.1mm，挡光杆距离轴心距离：140mm±5mm，与力传感器、光电门传感器配合使用，可描绘水平方向时向心力与质量、角速度、运动半径的关系曲线，探究向心力与质量、角速度、角速度的平方、运动半径的关系以及在倾斜方向时向心力的变化。</w:t>
            </w:r>
          </w:p>
        </w:tc>
        <w:tc>
          <w:tcPr>
            <w:tcW w:w="554" w:type="pct"/>
            <w:vAlign w:val="center"/>
          </w:tcPr>
          <w:p>
            <w:pPr>
              <w:widowControl/>
              <w:spacing w:line="400" w:lineRule="exact"/>
              <w:jc w:val="center"/>
              <w:rPr>
                <w:rFonts w:ascii="宋体" w:hAnsi="宋体" w:cs="宋体"/>
                <w:bCs/>
                <w:kern w:val="0"/>
                <w:szCs w:val="21"/>
                <w:highlight w:val="none"/>
              </w:rPr>
            </w:pP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bookmarkStart w:id="21" w:name="OLE_LINK1" w:colFirst="2" w:colLast="2"/>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机械能守恒实验器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主板、副板、光电门传感器固定臂、磁铁夹固定臂（含磁铁夹）、摆锤（含摆锤线）、定位档、中央螺母、中央螺栓、摆锤线固定栓、测平器、蝶形螺栓、通用螺栓构成。主板标尺刻度：0mm、50mm、100mm、150mm，误差为±1mm；副板标尺刻度：0mm、50mm、100mm、150mm，误差为±1mm；光电门固定在主板的后方，当调节中心螺栓和螺母的紧度时，固定臂既能任意调节，又能根据实验要求固定在主板的任意位置；光电门传感器固定臂长454mm ±2mm；磁铁夹固定臂长404 mm ±2mm。摆锤的材质为金属铁质，摆锤直径：8mm±0.5mm，质量：8.2g±0.5g；定位档片，能够准确定位，精确改变摆长；测平器测平器外侧边缘应齐平，光滑，以便将光电门传感器精确定位。</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力的分解合成实验器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由带刻度精密力盘、挂臂、固定柱、滚轴、标准方型物块组成，与两只力传感器配合使用，完成力的分解合成实验。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斜面上力的分解实验器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由座架、L型旋臂和内置式力传感器、弧型角度标尺、环型物块构成。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智能力盘</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由两只力/倾角传感器、精密力盘、挂臂、固定装置组成，与铁架台、学校原有数据采集器配合使用。可同时测量两个方向的分力大小与角度值，完成动态条件下力的分解实验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作用力与反作用力实验器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由底座、滑台、两个固定柱构成，将两个力传感器分别固定在固定柱上，通过移动其中一个固定柱上力传感器来观看两个力传感器值的大小。</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平抛运动实验器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由座架、支架、平抛轨道、光电门支架、内置式触碰传感器、小球、标尺游标、磁性回收器等组成。与光电门传感器配合，可测量平抛运动小球的初速度、运行时间与水平距离。</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摩擦力实验器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由轨道、摩擦台底座、多种摩擦块、电机组成，与力传感器配合使用，可实现摩擦物体做匀速直线运动。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二力平衡实验器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二力平衡实验器牵引电机（附带挡光轮）、支架、十字转接器、横杆等组成，与力传感器配合使用，测量物体运动过程中力的变化情况。与光电门传感器配合，可扩展为同时测量物体运动速度功能，供电电源为两节7号电池。</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流体压强实验器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由气泵、三节不同粗细的套管、外接连通软管和支架组成，与三只相对压强传感器配合使用，可显示气流的不同流速对应的气体压强差异。</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热辐射的吸收实验器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由三种相同材料不同颜色物块及支架组成，与三只温度传感器配合使用，观察在同种照射条件下，不同颜色的吸热本领。</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玻璃导电实验器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由底座、专用实验板、玻璃组成，与微电流传感器配合使用。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温差电流实验器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由底座、不同材料金属框组成，与微电流传感器配合使用。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地磁场发电机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由专用底座、矩形线圈、连接轴承组成，线圈可自由旋转，与微电流传感器配合使用，测量线圈旋转时产生的交流电。</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电阻定律实验器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由底座、刻度板面膜、接线排端子、锁扣、脚垫、直径不同的康铜、铁铬、镍铬五种金属丝构成，配合多量程电流传感器和多量程电压传感器使用，可研究导体的电阻与长度、横截面积、材料的关系。</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远红外加热器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220V交流供电，功率80W；圆筒型远红外辐射加热炉芯，便于对加热体均匀加热。可完成查理定律、晶体熔解和凝固、比热容等高精度热学定量实验。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音频信号发生器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通过内置或接外部扬声器发出声波，声波频率200Hz~2000Hz，声音响度连续可调。可配合声波传感器检测音频信号进行音频分析，自带不小于2.0寸TFT彩色液晶屏，可显示波形。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多功能学生电源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具有直流/交流转换输出功能，直流输出：电压1.5V~20V，最大输出功率：30W；交流输出：电压0~9V/50Hz，最大输出功率：4.5W。交直流电压独立幅值连续可调；具有直流极性转换、输出短路保护功能。</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智能电源</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分为手动模式和智能模式输出。手动模式输出：可实现直流交流转换输出，直流输出：1.5V~18V连续可调；交流输出：0V~6V/50Hz；交直流电压独立幅值调节。智能模式输出：可分别调节单周期的梯形波、单周期三角波及多周期三角波三种模式输出，波形上升与下降斜率分别可调。</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逻辑电路实验器A</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由与或非三种门电路、八种开关电路、三种显示模块、三种连接器、电源、信号采集器等二十三个组件构成，可完成复杂的数字电路、自动控制、逻辑电路实验，可通过软件显示输入输出电平随时间变化曲线。</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逻辑电路实验器B</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由与或非三种门电路、五种开关电路、二种显示模块、连接器和电源等十五个组件构成，可完成复杂的数字电路、自动控制、逻辑电路实验。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低频信号发生器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可选择输出正弦波、方波、三角波信号，频率在20Hz～2000Hz连续可调，波形幅度±1V~ ±12V连续可调，可配合电学类传感器检测波形信号进行波形分析，自带不小于2.0寸TFT彩色液晶屏，可显示波形。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模块机器人</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控制器、传感器、执行器、配套软件构成。其中控制器周边设有不少于8个插口，可任意连接不同的传感器、执行器。控制器通过USB接口，与计算机通讯，进行程序下载与管理；传感器含：触发、光、声、温度、磁、红外、循迹等；执行器含：电动机、交通灯、模拟灯、位输出不少于4种。除主控器自带程序之外，可自主设计程序，完成相关的实验。</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自动控制开关</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可与其它传感器配合，通过软件设置阈值，触发自动控制开关的闭合或断开，控制与之连接的执行器启动或停止</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自动控制执行器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szCs w:val="21"/>
                <w:highlight w:val="none"/>
              </w:rPr>
              <w:t>可与传感器配合使用，完成自动控制功能，内部集成三种执行器：指示灯、报警器、电动机；可通过切换开关来任意切换不同执行器执行动作。</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真空铃实验器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由真空铃罐体、抽气装置、蓝牙音箱、发泡球、隔音膜等构成。</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Mini牛顿管实验器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由牛顿管（含透明管、微型无线压强传感器、抽气阀门）、抽气装置、观测物体（金属、泡沫或羽毛）等构成。可以观察物体在空气中、近似真空状态下以及其他压强状态情况的下落过程。</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二力平衡实验器</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由驱动台(包含电机轮、滑轮×2、电机)、控制器、信号线、电源线、配重块、塑帽螺栓、牵引线、绑扎带构成，与力传感器C、传感器无线发射模块、无线接收器及钩码配合，安装于铁架台上使用。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魔板（电磁定位系统）</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通过感应发射器产生的磁场对发射器进行二维平面内的定位，采用电磁定位原理，定位准确、采集频率高，不受外部环境干扰。可完成平抛运动、自由落体、斜抛等研究二维平面内运动规律的实验。定位范围：50cm*30cm，发射器定位偏差：±1mm，采样频率：0-200Hz，采用航空铝型材，面板高透明度亚克力材料，内置集成电磁感应基板，配高弹性硅胶板作为缓冲装置，发射器自带Micro usb接口，可充电，直径小于3cm，抛出装置可以设定水平、垂直、向上向下倾斜等抛出方式，抛出装置可竖直、水平自由定位。</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法拉第电磁感应定律实验器Ⅰ</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活动线圈、磁铁、光电门传感器组成，通过内置传感器测量数据，直接与计算机USB口通讯；可完成在磁感强度不变的条件下，动生电动势与运动速度的关系实验。挡光杆宽度：6mm±0.2mm，线框能卡在两条金属支架中间竖槽内。</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法拉第电磁感应定律实验器Ⅱ</w:t>
            </w:r>
          </w:p>
        </w:tc>
        <w:tc>
          <w:tcPr>
            <w:tcW w:w="2866" w:type="pct"/>
            <w:vAlign w:val="center"/>
          </w:tcPr>
          <w:p>
            <w:pPr>
              <w:widowControl/>
              <w:numPr>
                <w:ilvl w:val="0"/>
                <w:numId w:val="4"/>
              </w:numPr>
              <w:spacing w:line="400" w:lineRule="exact"/>
              <w:jc w:val="left"/>
              <w:textAlignment w:val="center"/>
              <w:rPr>
                <w:rFonts w:ascii="宋体" w:hAnsi="宋体" w:cs="宋体"/>
                <w:bCs/>
                <w:szCs w:val="21"/>
                <w:highlight w:val="none"/>
              </w:rPr>
            </w:pPr>
            <w:r>
              <w:rPr>
                <w:rFonts w:hint="eastAsia" w:ascii="宋体" w:hAnsi="宋体" w:cs="宋体"/>
                <w:bCs/>
                <w:kern w:val="0"/>
                <w:szCs w:val="21"/>
                <w:highlight w:val="none"/>
                <w:lang w:bidi="ar"/>
              </w:rPr>
              <w:t>由底座、主线圈、次线圈、电动势测量传输系统组成；直接与计算机USB口连接通讯，与智能电源、磁感应强度传感器配合使用，探究感生电动势与磁感强度的变化率关系底座内置电压传感器，底座能够固定I型支架。主线圈匝数：三线200匝±2匝、副线圈匝数：单线200匝±2匝</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光学实验系统</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由长度不低于1.2米轨道、可调光源座、光缝座、光屏座、相对光照度分布传感器、单缝、双缝、USB数据线构成。可完成高中物理中光的干涉、衍射实验。</w:t>
            </w:r>
          </w:p>
        </w:tc>
        <w:tc>
          <w:tcPr>
            <w:tcW w:w="554" w:type="pct"/>
            <w:vAlign w:val="center"/>
          </w:tcPr>
          <w:p>
            <w:pPr>
              <w:widowControl/>
              <w:spacing w:line="400" w:lineRule="exact"/>
              <w:jc w:val="center"/>
              <w:rPr>
                <w:rFonts w:ascii="宋体" w:hAnsi="宋体" w:cs="宋体"/>
                <w:bCs/>
                <w:kern w:val="0"/>
                <w:szCs w:val="21"/>
                <w:highlight w:val="none"/>
              </w:rPr>
            </w:pP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方块电路</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不少于13类30种电路模块及若干配件组成：（1）电源模块×2；（2）仪表模块×2；（3）导线模块×3；（4）开关模块×3；（5）滑动变阻器模块×3；（6）可变电阻模块×3；（7）敏感电阻模块×2；（8）二极管模块×2；（9）三极管模块×2；（10）电感模块×2；（11）用电器模块×3；（12）扩展模块×2及插片、磁铁；（13）接口模块×1；配件：USB隔离器、USB集线器、双头充电器及USB Type-C数据线。</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各个模块可拼接在一起，可实现对应电子元件的功能。可完成串联电路、并联电路、点亮灯泡、用电流表测电流、用电压表测电压、验证电阻定律、验证欧姆定律、伏安法测电阻、测小灯泡的电功率、描绘小灯泡的伏安特性曲线等电学实验。电源模块内置可充电锂电池，带有剩余电量指示灯。电压表和电流表内置充电锂电池，配置数据显示屏幕，可显示测量的数据及模块剩余电量。设有清零按钮，可以将屏幕显示的示数清零，可无线连接手机、平板电脑。数值可在计算机上呈现。模块的输入和输出可拓展外接，模块脱离方块电路系统也可以单独使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挡光片</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kern w:val="0"/>
                <w:szCs w:val="21"/>
                <w:highlight w:val="none"/>
                <w:lang w:bidi="ar"/>
              </w:rPr>
              <w:t>“工”字型挡光片</w:t>
            </w:r>
            <w:r>
              <w:rPr>
                <w:rFonts w:hint="eastAsia" w:ascii="宋体" w:hAnsi="宋体" w:cs="宋体"/>
                <w:bCs/>
                <w:szCs w:val="21"/>
                <w:highlight w:val="none"/>
              </w:rPr>
              <w:t>，两横高度分别为1cm</w:t>
            </w:r>
            <w:r>
              <w:rPr>
                <w:rFonts w:hint="eastAsia" w:ascii="宋体" w:hAnsi="宋体" w:cs="宋体"/>
                <w:bCs/>
                <w:szCs w:val="21"/>
                <w:highlight w:val="none"/>
                <w:shd w:val="clear" w:color="auto" w:fill="FFFFFF"/>
              </w:rPr>
              <w:t>±10%</w:t>
            </w:r>
            <w:r>
              <w:rPr>
                <w:rFonts w:hint="eastAsia" w:ascii="宋体" w:hAnsi="宋体" w:cs="宋体"/>
                <w:bCs/>
                <w:szCs w:val="21"/>
                <w:highlight w:val="none"/>
              </w:rPr>
              <w:t>，竖的高度为10cm</w:t>
            </w:r>
            <w:r>
              <w:rPr>
                <w:rFonts w:hint="eastAsia" w:ascii="宋体" w:hAnsi="宋体" w:cs="宋体"/>
                <w:bCs/>
                <w:szCs w:val="21"/>
                <w:highlight w:val="none"/>
                <w:shd w:val="clear" w:color="auto" w:fill="FFFFFF"/>
              </w:rPr>
              <w:t>±10%</w:t>
            </w:r>
            <w:r>
              <w:rPr>
                <w:rFonts w:hint="eastAsia" w:ascii="宋体" w:hAnsi="宋体" w:cs="宋体"/>
                <w:bCs/>
                <w:szCs w:val="21"/>
                <w:highlight w:val="none"/>
              </w:rPr>
              <w:t>；</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widowControl/>
              <w:spacing w:line="400" w:lineRule="exact"/>
              <w:jc w:val="center"/>
              <w:textAlignment w:val="center"/>
              <w:rPr>
                <w:rFonts w:ascii="宋体" w:hAnsi="宋体" w:cs="宋体"/>
                <w:bCs/>
                <w:kern w:val="0"/>
                <w:szCs w:val="21"/>
                <w:highlight w:val="none"/>
              </w:rPr>
            </w:pPr>
            <w:r>
              <w:rPr>
                <w:rFonts w:hint="eastAsia" w:ascii="宋体" w:hAnsi="宋体" w:cs="宋体"/>
                <w:bCs/>
                <w:kern w:val="0"/>
                <w:szCs w:val="21"/>
                <w:highlight w:val="none"/>
                <w:lang w:bidi="ar"/>
              </w:rPr>
              <w:t>单摆测量实验水槽</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根据用户方要求定制，有机玻璃材质；</w:t>
            </w:r>
          </w:p>
        </w:tc>
        <w:tc>
          <w:tcPr>
            <w:tcW w:w="554" w:type="pct"/>
            <w:vAlign w:val="center"/>
          </w:tcPr>
          <w:p>
            <w:pPr>
              <w:widowControl/>
              <w:spacing w:line="400" w:lineRule="exact"/>
              <w:jc w:val="center"/>
              <w:rPr>
                <w:rFonts w:ascii="宋体" w:hAnsi="宋体" w:cs="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4" w:type="pct"/>
            <w:vAlign w:val="center"/>
          </w:tcPr>
          <w:p>
            <w:pPr>
              <w:widowControl/>
              <w:numPr>
                <w:ilvl w:val="0"/>
                <w:numId w:val="3"/>
              </w:numPr>
              <w:spacing w:line="400" w:lineRule="exact"/>
              <w:jc w:val="center"/>
              <w:rPr>
                <w:rFonts w:ascii="宋体" w:hAnsi="宋体" w:cs="宋体"/>
                <w:bCs/>
                <w:kern w:val="0"/>
                <w:szCs w:val="21"/>
                <w:highlight w:val="none"/>
              </w:rPr>
            </w:pPr>
          </w:p>
        </w:tc>
        <w:tc>
          <w:tcPr>
            <w:tcW w:w="1025" w:type="pct"/>
            <w:vAlign w:val="center"/>
          </w:tcPr>
          <w:p>
            <w:pPr>
              <w:spacing w:line="400" w:lineRule="exact"/>
              <w:jc w:val="center"/>
              <w:rPr>
                <w:rFonts w:ascii="宋体" w:hAnsi="宋体" w:cs="宋体"/>
                <w:bCs/>
                <w:kern w:val="0"/>
                <w:szCs w:val="21"/>
                <w:highlight w:val="none"/>
              </w:rPr>
            </w:pPr>
            <w:r>
              <w:rPr>
                <w:rFonts w:hint="eastAsia" w:ascii="宋体" w:hAnsi="宋体" w:cs="宋体"/>
                <w:bCs/>
                <w:szCs w:val="21"/>
                <w:highlight w:val="none"/>
              </w:rPr>
              <w:t>固体、液体和气体实验箱</w:t>
            </w:r>
          </w:p>
        </w:tc>
        <w:tc>
          <w:tcPr>
            <w:tcW w:w="2866" w:type="pct"/>
            <w:vAlign w:val="center"/>
          </w:tcPr>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箱体≥465mm长×355mm宽×205mm高，壁厚≥3mm，ABS阻燃性材料一次成型，手提翻盖式，箱体四周圆润过渡角不伤手，箱体顶部及旋盖上有方向指示标识，箱盖把手周围斜切面过渡平滑，箱体背部采用蜂巢式加强筋设计，箱盖背面设有装箱清单卡片槽，内部采用珍珠棉隔离填充材料，每种实验器材有相对应插槽。</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由多功能组合支架（X型支座）、100ml锥形瓶、400ml玻璃烧杯、不锈钢酒精灯、色素、φ30试管、微小压强计刻度尺、20ml注射器、玻璃漏斗、两用打气筒、滴管、空气压缩引火仪、玻璃杯、玻意尔定律、培养皿、单孔硅胶塞、双孔硅胶塞、泡泡水、液晶时钟、毛细管支架、石蜡、铁圈、升降块、饮水鸟、长玻璃直角导管、玻璃导管（L=120mm）、玻璃导管（L=200mm）、温度计、支撑杆、毛细玻璃管组合、玻璃片、玻璃管固定件、硅胶管、石棉网、环形模型、棉线、蜂蜡等组成。</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多功能组合支架(X型支座)：规格：240mm长×132mm宽×28mm高（±10%），ABS材质注塑成型，表面磨砂工艺处理，设有立杆异形安装孔、两脚立杆扩展孔、组合卡扣、内嵌铜螺母，内嵌铜螺母上旋接固定有M6紧锁手拧螺丝，主体内部含金属配重，两件对插组合使用呈X型，可作为铁架台底座、光学导轨、新能源轨道等。</w:t>
            </w:r>
          </w:p>
          <w:p>
            <w:pPr>
              <w:numPr>
                <w:ilvl w:val="0"/>
                <w:numId w:val="4"/>
              </w:numPr>
              <w:spacing w:line="400" w:lineRule="exact"/>
              <w:jc w:val="left"/>
              <w:rPr>
                <w:rFonts w:ascii="宋体" w:hAnsi="宋体" w:cs="宋体"/>
                <w:bCs/>
                <w:szCs w:val="21"/>
                <w:highlight w:val="none"/>
              </w:rPr>
            </w:pPr>
            <w:r>
              <w:rPr>
                <w:rFonts w:hint="eastAsia" w:ascii="宋体" w:hAnsi="宋体" w:cs="宋体"/>
                <w:bCs/>
                <w:szCs w:val="21"/>
                <w:highlight w:val="none"/>
              </w:rPr>
              <w:t>▲可模拟演示的实验不少于：温度计；探究气体等温变化的规律（玻意尔定律）；等压变化（盖—吕萨克定律）；等容变化（查理定律）；晶体和非晶体；石蜡在玻璃和云母片上的融化；液体的表面张力（观察肥皂膜和棉线的变化）；浸润和不浸润（水滴在玻璃面和蜡面的现象、毛细现象）；观察液晶屏；空气压缩引火实验；功与内能的改变（观察橡胶塞跳出时瓶内的变化）；探究热机原理（饮水鸟）；液体的扩散现象等。</w:t>
            </w:r>
            <w:r>
              <w:rPr>
                <w:rFonts w:hint="eastAsia" w:ascii="宋体" w:hAnsi="宋体" w:cs="宋体"/>
                <w:bCs/>
                <w:color w:val="0000FF"/>
                <w:szCs w:val="21"/>
                <w:highlight w:val="none"/>
              </w:rPr>
              <w:t>投标时同时提供：①由第三方检验检测机构出具并加盖（或带有）CMA标志的检验检测报告扫描件，原件备查；②上述检验检测报告</w:t>
            </w:r>
            <w:r>
              <w:rPr>
                <w:rFonts w:ascii="宋体" w:hAnsi="宋体" w:cs="宋体"/>
                <w:bCs/>
                <w:color w:val="0000FF"/>
                <w:szCs w:val="21"/>
                <w:highlight w:val="none"/>
              </w:rPr>
              <w:t>在全国认证认可信息公共服务平台（认e云）（http://cx.cnca.cn/）的信息查询记录截图。</w:t>
            </w:r>
            <w:r>
              <w:rPr>
                <w:rFonts w:hint="eastAsia" w:ascii="宋体" w:hAnsi="宋体" w:cs="宋体"/>
                <w:bCs/>
                <w:color w:val="0000FF"/>
                <w:szCs w:val="21"/>
                <w:highlight w:val="none"/>
              </w:rPr>
              <w:t>注：对应参数（检验检测项）在检验检测报告中进行标注。如检验检测报告中明确备注说明相关检验检测项不在检验检测机构CMA资质许可（认定）范围内的，不符合招标文件要求。</w:t>
            </w:r>
          </w:p>
        </w:tc>
        <w:tc>
          <w:tcPr>
            <w:tcW w:w="554" w:type="pct"/>
            <w:vAlign w:val="center"/>
          </w:tcPr>
          <w:p>
            <w:pPr>
              <w:widowControl/>
              <w:spacing w:line="400" w:lineRule="exact"/>
              <w:jc w:val="center"/>
              <w:rPr>
                <w:rFonts w:ascii="宋体" w:hAnsi="宋体" w:cs="宋体"/>
                <w:bCs/>
                <w:kern w:val="0"/>
                <w:szCs w:val="21"/>
                <w:highlight w:val="none"/>
              </w:rPr>
            </w:pPr>
          </w:p>
        </w:tc>
      </w:tr>
    </w:tbl>
    <w:p>
      <w:pPr>
        <w:spacing w:after="78"/>
        <w:jc w:val="left"/>
        <w:rPr>
          <w:rFonts w:hint="default" w:ascii="Calibri" w:hAnsi="Calibri" w:eastAsia="宋体" w:cs="Times New Roman"/>
          <w:color w:val="FF0000"/>
          <w:szCs w:val="21"/>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120" w:beforeLines="50" w:after="120" w:afterLines="50" w:line="416" w:lineRule="auto"/>
        <w:jc w:val="center"/>
        <w:textAlignment w:val="auto"/>
        <w:outlineLvl w:val="2"/>
        <w:rPr>
          <w:sz w:val="28"/>
          <w:szCs w:val="28"/>
          <w:highlight w:val="none"/>
        </w:rPr>
      </w:pPr>
      <w:r>
        <w:rPr>
          <w:rFonts w:ascii="宋体" w:hAnsi="宋体" w:eastAsia="黑体" w:cs="Times New Roman"/>
          <w:bCs/>
          <w:kern w:val="44"/>
          <w:sz w:val="28"/>
          <w:szCs w:val="44"/>
          <w:highlight w:val="none"/>
        </w:rPr>
        <w:br w:type="page"/>
      </w:r>
      <w:r>
        <w:rPr>
          <w:rFonts w:hint="eastAsia"/>
          <w:sz w:val="28"/>
          <w:szCs w:val="28"/>
          <w:highlight w:val="none"/>
          <w:lang w:val="en-US" w:eastAsia="zh-CN"/>
        </w:rPr>
        <w:t>六</w:t>
      </w:r>
      <w:r>
        <w:rPr>
          <w:rFonts w:hint="eastAsia"/>
          <w:sz w:val="28"/>
          <w:szCs w:val="28"/>
          <w:highlight w:val="none"/>
        </w:rPr>
        <w:t>、其他重要条款</w:t>
      </w:r>
    </w:p>
    <w:p>
      <w:pPr>
        <w:ind w:firstLine="420" w:firstLineChars="200"/>
        <w:rPr>
          <w:rFonts w:hint="eastAsia"/>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rFonts w:hint="eastAsia"/>
          <w:bCs/>
          <w:szCs w:val="21"/>
          <w:highlight w:val="none"/>
        </w:rPr>
      </w:pPr>
      <w:r>
        <w:rPr>
          <w:rFonts w:hint="eastAsia"/>
          <w:bCs/>
          <w:szCs w:val="21"/>
          <w:highlight w:val="none"/>
        </w:rPr>
        <w:t>2、投标人应充分了解项目的位置、情况、道路及任何其它足以影响投标报价的情况，任何因忽视或误解项目情况而导致的索赔或服务期限延长申请将不获批准。</w:t>
      </w:r>
    </w:p>
    <w:p>
      <w:pPr>
        <w:ind w:firstLine="420" w:firstLineChars="200"/>
        <w:rPr>
          <w:rFonts w:hint="eastAsia"/>
          <w:bCs/>
          <w:szCs w:val="21"/>
          <w:highlight w:val="none"/>
        </w:rPr>
      </w:pPr>
      <w:r>
        <w:rPr>
          <w:rFonts w:hint="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hint="eastAsia"/>
          <w:bCs/>
          <w:szCs w:val="21"/>
          <w:highlight w:val="none"/>
        </w:rPr>
      </w:pPr>
      <w:r>
        <w:rPr>
          <w:rFonts w:hint="eastAsia"/>
          <w:bCs/>
          <w:szCs w:val="21"/>
          <w:highlight w:val="none"/>
        </w:rPr>
        <w:t>4、除政府采购合同继续履行将损害国家利益和社会公共利益外，双方当事人不得擅自变更、中止或者终止合同。</w:t>
      </w:r>
    </w:p>
    <w:p>
      <w:pPr>
        <w:ind w:firstLine="420" w:firstLineChars="200"/>
        <w:rPr>
          <w:rFonts w:hint="eastAsia"/>
          <w:bCs/>
          <w:szCs w:val="21"/>
          <w:highlight w:val="none"/>
        </w:rPr>
      </w:pPr>
      <w:r>
        <w:rPr>
          <w:rFonts w:hint="eastAsia"/>
          <w:bCs/>
          <w:szCs w:val="21"/>
          <w:highlight w:val="none"/>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ind w:firstLine="420" w:firstLineChars="200"/>
        <w:rPr>
          <w:rFonts w:hint="eastAsia"/>
          <w:bCs/>
          <w:szCs w:val="21"/>
          <w:highlight w:val="none"/>
        </w:rPr>
      </w:pPr>
    </w:p>
    <w:p>
      <w:pPr>
        <w:ind w:firstLine="420" w:firstLineChars="200"/>
        <w:rPr>
          <w:rFonts w:hint="eastAsia"/>
          <w:bCs/>
          <w:szCs w:val="21"/>
          <w:highlight w:val="none"/>
        </w:rPr>
      </w:pPr>
    </w:p>
    <w:p>
      <w:pPr>
        <w:ind w:firstLine="420" w:firstLineChars="200"/>
        <w:rPr>
          <w:rFonts w:hint="eastAsia"/>
          <w:bCs/>
          <w:szCs w:val="21"/>
          <w:highlight w:val="none"/>
        </w:rPr>
      </w:pPr>
    </w:p>
    <w:p>
      <w:pPr>
        <w:widowControl/>
        <w:jc w:val="left"/>
        <w:rPr>
          <w:rFonts w:ascii="宋体" w:hAnsi="宋体" w:eastAsia="黑体" w:cs="Times New Roman"/>
          <w:bCs/>
          <w:kern w:val="44"/>
          <w:sz w:val="28"/>
          <w:szCs w:val="44"/>
          <w:highlight w:val="none"/>
        </w:rPr>
      </w:pPr>
    </w:p>
    <w:p>
      <w:pPr>
        <w:rPr>
          <w:rFonts w:hint="eastAsia"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br w:type="page"/>
      </w:r>
    </w:p>
    <w:p>
      <w:pPr>
        <w:keepNext/>
        <w:keepLines/>
        <w:pageBreakBefore w:val="0"/>
        <w:kinsoku/>
        <w:wordWrap/>
        <w:overflowPunct/>
        <w:topLinePunct w:val="0"/>
        <w:autoSpaceDE/>
        <w:autoSpaceDN/>
        <w:bidi w:val="0"/>
        <w:adjustRightInd w:val="0"/>
        <w:spacing w:line="320" w:lineRule="atLeast"/>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第四章</w:t>
      </w:r>
      <w:r>
        <w:rPr>
          <w:rFonts w:ascii="宋体" w:hAnsi="宋体" w:eastAsia="宋体" w:cs="Times New Roman"/>
          <w:b/>
          <w:bCs/>
          <w:kern w:val="0"/>
          <w:sz w:val="28"/>
          <w:szCs w:val="28"/>
          <w:highlight w:val="none"/>
        </w:rPr>
        <w:t xml:space="preserve"> </w:t>
      </w:r>
      <w:r>
        <w:rPr>
          <w:rFonts w:hint="eastAsia" w:ascii="宋体" w:hAnsi="宋体" w:eastAsia="宋体" w:cs="Times New Roman"/>
          <w:b/>
          <w:bCs/>
          <w:kern w:val="0"/>
          <w:sz w:val="28"/>
          <w:szCs w:val="28"/>
          <w:highlight w:val="none"/>
        </w:rPr>
        <w:t xml:space="preserve"> 投标文件组成要求及格式</w:t>
      </w:r>
    </w:p>
    <w:p>
      <w:pPr>
        <w:keepNext w:val="0"/>
        <w:keepLines w:val="0"/>
        <w:pageBreakBefore w:val="0"/>
        <w:widowControl w:val="0"/>
        <w:kinsoku/>
        <w:wordWrap/>
        <w:overflowPunct/>
        <w:topLinePunct w:val="0"/>
        <w:autoSpaceDE/>
        <w:autoSpaceDN/>
        <w:bidi w:val="0"/>
        <w:adjustRightInd/>
        <w:spacing w:line="320" w:lineRule="atLeast"/>
        <w:textAlignment w:val="auto"/>
        <w:outlineLvl w:val="2"/>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特别提醒：</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1、</w:t>
      </w:r>
      <w:r>
        <w:rPr>
          <w:rFonts w:hint="eastAsia" w:ascii="宋体" w:hAnsi="宋体" w:eastAsia="宋体" w:cs="宋体"/>
          <w:b/>
          <w:color w:val="FF0000"/>
          <w:sz w:val="24"/>
          <w:szCs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bCs/>
          <w:color w:val="FF0000"/>
          <w:sz w:val="24"/>
          <w:szCs w:val="24"/>
          <w:highlight w:val="none"/>
        </w:rPr>
      </w:pPr>
      <w:r>
        <w:rPr>
          <w:rFonts w:hint="eastAsia" w:ascii="宋体" w:hAnsi="宋体" w:eastAsia="宋体" w:cs="宋体"/>
          <w:b/>
          <w:color w:val="FF0000"/>
          <w:sz w:val="24"/>
          <w:szCs w:val="24"/>
          <w:highlight w:val="none"/>
          <w:lang w:val="en-US" w:eastAsia="zh-CN"/>
        </w:rPr>
        <w:t>2、</w:t>
      </w:r>
      <w:r>
        <w:rPr>
          <w:rFonts w:hint="eastAsia" w:ascii="宋体" w:hAnsi="宋体" w:eastAsia="宋体" w:cs="宋体"/>
          <w:b/>
          <w:color w:val="FF0000"/>
          <w:sz w:val="24"/>
          <w:szCs w:val="24"/>
          <w:highlight w:val="none"/>
        </w:rPr>
        <w:t>投标文件正文（信息公开部分）必须编制于“正文（公开部分）”部分，投标文件附件（非信息公开部分）必须编制于“附件（不公开部分）”部分。</w:t>
      </w:r>
    </w:p>
    <w:p>
      <w:pPr>
        <w:keepNext w:val="0"/>
        <w:keepLines w:val="0"/>
        <w:pageBreakBefore w:val="0"/>
        <w:widowControl w:val="0"/>
        <w:tabs>
          <w:tab w:val="left" w:pos="1470"/>
        </w:tabs>
        <w:kinsoku/>
        <w:wordWrap/>
        <w:overflowPunct/>
        <w:topLinePunct w:val="0"/>
        <w:autoSpaceDE/>
        <w:autoSpaceDN/>
        <w:bidi w:val="0"/>
        <w:adjustRightInd/>
        <w:snapToGrid w:val="0"/>
        <w:spacing w:line="320" w:lineRule="atLeast"/>
        <w:textAlignment w:val="auto"/>
        <w:rPr>
          <w:rFonts w:hint="eastAsia" w:ascii="宋体" w:hAnsi="宋体" w:eastAsia="宋体" w:cs="宋体"/>
          <w:b/>
          <w:color w:val="FF0000"/>
          <w:sz w:val="24"/>
          <w:szCs w:val="24"/>
          <w:highlight w:val="none"/>
        </w:rPr>
      </w:pPr>
      <w:bookmarkStart w:id="22" w:name="_Hlk72257167"/>
      <w:r>
        <w:rPr>
          <w:rFonts w:hint="eastAsia" w:ascii="宋体" w:hAnsi="宋体" w:eastAsia="宋体" w:cs="宋体"/>
          <w:b/>
          <w:color w:val="FF0000"/>
          <w:sz w:val="24"/>
          <w:szCs w:val="24"/>
          <w:highlight w:val="none"/>
          <w:lang w:val="en-US" w:eastAsia="zh-CN"/>
        </w:rPr>
        <w:t>3、</w:t>
      </w:r>
      <w:r>
        <w:rPr>
          <w:rFonts w:hint="eastAsia" w:ascii="宋体" w:hAnsi="宋体" w:eastAsia="宋体" w:cs="宋体"/>
          <w:b/>
          <w:color w:val="FF0000"/>
          <w:sz w:val="24"/>
          <w:szCs w:val="24"/>
          <w:highlight w:val="none"/>
        </w:rPr>
        <w:t>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pPr>
        <w:pStyle w:val="9"/>
        <w:rPr>
          <w:rFonts w:hint="eastAsia"/>
          <w:highlight w:val="none"/>
        </w:rPr>
      </w:pPr>
    </w:p>
    <w:bookmarkEnd w:id="22"/>
    <w:p>
      <w:pPr>
        <w:pageBreakBefore w:val="0"/>
        <w:widowControl/>
        <w:kinsoku/>
        <w:wordWrap/>
        <w:overflowPunct/>
        <w:topLinePunct w:val="0"/>
        <w:autoSpaceDE/>
        <w:autoSpaceDN/>
        <w:bidi w:val="0"/>
        <w:spacing w:line="320" w:lineRule="atLeast"/>
        <w:jc w:val="left"/>
        <w:outlineLvl w:val="2"/>
        <w:rPr>
          <w:rFonts w:ascii="宋体" w:hAnsi="宋体" w:eastAsia="黑体" w:cs="Times New Roman"/>
          <w:bCs/>
          <w:kern w:val="44"/>
          <w:sz w:val="24"/>
          <w:szCs w:val="24"/>
          <w:highlight w:val="none"/>
        </w:rPr>
      </w:pPr>
      <w:r>
        <w:rPr>
          <w:rFonts w:hint="eastAsia" w:ascii="宋体" w:hAnsi="宋体" w:eastAsia="黑体" w:cs="Times New Roman"/>
          <w:bCs/>
          <w:kern w:val="44"/>
          <w:sz w:val="24"/>
          <w:szCs w:val="24"/>
          <w:highlight w:val="none"/>
        </w:rPr>
        <w:t>投标文件组成：</w:t>
      </w:r>
    </w:p>
    <w:p>
      <w:pPr>
        <w:pageBreakBefore w:val="0"/>
        <w:kinsoku/>
        <w:wordWrap/>
        <w:overflowPunct/>
        <w:topLinePunct w:val="0"/>
        <w:autoSpaceDE/>
        <w:autoSpaceDN/>
        <w:bidi w:val="0"/>
        <w:snapToGrid w:val="0"/>
        <w:spacing w:line="320" w:lineRule="atLeast"/>
        <w:rPr>
          <w:rFonts w:ascii="Arial" w:hAnsi="Arial" w:eastAsia="宋体" w:cs="Arial"/>
          <w:b/>
          <w:color w:val="FF0000"/>
          <w:sz w:val="24"/>
          <w:szCs w:val="24"/>
          <w:highlight w:val="none"/>
        </w:rPr>
      </w:pPr>
      <w:r>
        <w:rPr>
          <w:rFonts w:hint="eastAsia" w:ascii="宋体" w:hAnsi="宋体" w:eastAsia="宋体" w:cs="宋体"/>
          <w:b/>
          <w:color w:val="FF0000"/>
          <w:kern w:val="0"/>
          <w:sz w:val="24"/>
          <w:szCs w:val="24"/>
          <w:highlight w:val="none"/>
        </w:rPr>
        <w:t>投标文件正文（信息公开部分）：</w:t>
      </w:r>
    </w:p>
    <w:p>
      <w:pPr>
        <w:pageBreakBefore w:val="0"/>
        <w:numPr>
          <w:ilvl w:val="0"/>
          <w:numId w:val="5"/>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投标函；</w:t>
      </w:r>
    </w:p>
    <w:p>
      <w:pPr>
        <w:pageBreakBefore w:val="0"/>
        <w:numPr>
          <w:ilvl w:val="0"/>
          <w:numId w:val="5"/>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bookmarkStart w:id="23" w:name="_Hlk72062521"/>
      <w:r>
        <w:rPr>
          <w:rFonts w:hint="eastAsia" w:ascii="宋体" w:hAnsi="宋体" w:eastAsia="宋体" w:cs="Times New Roman"/>
          <w:sz w:val="24"/>
          <w:szCs w:val="24"/>
          <w:highlight w:val="none"/>
        </w:rPr>
        <w:t>政府采购投标及履约承诺函</w:t>
      </w:r>
      <w:bookmarkEnd w:id="23"/>
      <w:r>
        <w:rPr>
          <w:rFonts w:hint="eastAsia" w:ascii="宋体" w:hAnsi="宋体" w:eastAsia="宋体" w:cs="Times New Roman"/>
          <w:sz w:val="24"/>
          <w:szCs w:val="24"/>
          <w:highlight w:val="none"/>
        </w:rPr>
        <w:t>；</w:t>
      </w:r>
    </w:p>
    <w:p>
      <w:pPr>
        <w:pageBreakBefore w:val="0"/>
        <w:numPr>
          <w:ilvl w:val="0"/>
          <w:numId w:val="5"/>
        </w:numPr>
        <w:kinsoku/>
        <w:wordWrap/>
        <w:overflowPunct/>
        <w:topLinePunct w:val="0"/>
        <w:autoSpaceDE/>
        <w:autoSpaceDN/>
        <w:bidi w:val="0"/>
        <w:snapToGrid w:val="0"/>
        <w:spacing w:line="320" w:lineRule="atLeas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投标人情况及资格证明文件；</w:t>
      </w:r>
    </w:p>
    <w:p>
      <w:pPr>
        <w:pageBreakBefore w:val="0"/>
        <w:numPr>
          <w:ilvl w:val="0"/>
          <w:numId w:val="5"/>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bCs/>
          <w:sz w:val="24"/>
          <w:szCs w:val="24"/>
          <w:highlight w:val="none"/>
        </w:rPr>
        <w:t>分项报价清单；</w:t>
      </w:r>
    </w:p>
    <w:p>
      <w:pPr>
        <w:pageBreakBefore w:val="0"/>
        <w:numPr>
          <w:ilvl w:val="0"/>
          <w:numId w:val="5"/>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经验评价；</w:t>
      </w:r>
    </w:p>
    <w:p>
      <w:pPr>
        <w:pageBreakBefore w:val="0"/>
        <w:numPr>
          <w:ilvl w:val="0"/>
          <w:numId w:val="5"/>
        </w:numPr>
        <w:kinsoku/>
        <w:wordWrap/>
        <w:overflowPunct/>
        <w:topLinePunct w:val="0"/>
        <w:autoSpaceDE/>
        <w:autoSpaceDN/>
        <w:bidi w:val="0"/>
        <w:snapToGrid w:val="0"/>
        <w:spacing w:line="320" w:lineRule="atLeast"/>
        <w:ind w:left="1456"/>
        <w:rPr>
          <w:rFonts w:ascii="宋体" w:hAnsi="宋体" w:eastAsia="宋体" w:cs="Times New Roman"/>
          <w:sz w:val="24"/>
          <w:szCs w:val="24"/>
          <w:highlight w:val="none"/>
        </w:rPr>
      </w:pPr>
      <w:r>
        <w:rPr>
          <w:rFonts w:hint="eastAsia" w:ascii="宋体" w:hAnsi="宋体" w:eastAsia="宋体" w:cs="Times New Roman"/>
          <w:sz w:val="24"/>
          <w:szCs w:val="24"/>
          <w:highlight w:val="none"/>
        </w:rPr>
        <w:t>其他招标文件要求或投标人认为需要补充的内容（公开）。</w:t>
      </w:r>
    </w:p>
    <w:p>
      <w:pPr>
        <w:pageBreakBefore w:val="0"/>
        <w:kinsoku/>
        <w:wordWrap/>
        <w:overflowPunct/>
        <w:topLinePunct w:val="0"/>
        <w:autoSpaceDE/>
        <w:autoSpaceDN/>
        <w:bidi w:val="0"/>
        <w:snapToGrid w:val="0"/>
        <w:spacing w:line="320" w:lineRule="atLeast"/>
        <w:jc w:val="left"/>
        <w:rPr>
          <w:rFonts w:ascii="宋体" w:hAnsi="宋体" w:eastAsia="宋体" w:cs="宋体"/>
          <w:b/>
          <w:color w:val="FF0000"/>
          <w:kern w:val="0"/>
          <w:sz w:val="24"/>
          <w:szCs w:val="24"/>
          <w:highlight w:val="none"/>
        </w:rPr>
      </w:pPr>
      <w:r>
        <w:rPr>
          <w:rFonts w:hint="eastAsia" w:ascii="宋体" w:hAnsi="宋体" w:eastAsia="宋体" w:cs="宋体"/>
          <w:b/>
          <w:color w:val="FF0000"/>
          <w:kern w:val="0"/>
          <w:sz w:val="24"/>
          <w:szCs w:val="24"/>
          <w:highlight w:val="none"/>
        </w:rPr>
        <w:t>投标文件附件（信息不公开部分）：</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法定代表人（负责人）证明书</w:t>
      </w:r>
      <w:r>
        <w:rPr>
          <w:rFonts w:hint="eastAsia" w:ascii="Arial" w:hAnsi="Arial" w:eastAsia="宋体" w:cs="Arial"/>
          <w:sz w:val="24"/>
          <w:szCs w:val="24"/>
          <w:highlight w:val="none"/>
        </w:rPr>
        <w:t>；</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投标文件签署授权委托书；</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实质性条款响应情况表；</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技术</w:t>
      </w:r>
      <w:r>
        <w:rPr>
          <w:rFonts w:hint="eastAsia" w:ascii="宋体" w:hAnsi="宋体" w:eastAsia="宋体" w:cs="Times New Roman"/>
          <w:sz w:val="24"/>
          <w:szCs w:val="24"/>
          <w:highlight w:val="none"/>
          <w:lang w:val="en-US" w:eastAsia="zh-CN"/>
        </w:rPr>
        <w:t>要求</w:t>
      </w:r>
      <w:r>
        <w:rPr>
          <w:rFonts w:hint="eastAsia" w:ascii="宋体" w:hAnsi="宋体" w:eastAsia="宋体" w:cs="Times New Roman"/>
          <w:sz w:val="24"/>
          <w:szCs w:val="24"/>
          <w:highlight w:val="none"/>
        </w:rPr>
        <w:t>偏离表</w:t>
      </w:r>
      <w:r>
        <w:rPr>
          <w:rFonts w:hint="eastAsia" w:ascii="宋体" w:hAnsi="宋体" w:eastAsia="宋体" w:cs="Times New Roman"/>
          <w:sz w:val="24"/>
          <w:szCs w:val="24"/>
          <w:highlight w:val="none"/>
          <w:lang w:eastAsia="zh-CN"/>
        </w:rPr>
        <w:t>；</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项目组织实施方案的评价</w:t>
      </w:r>
      <w:r>
        <w:rPr>
          <w:rFonts w:hint="eastAsia" w:ascii="宋体" w:hAnsi="宋体" w:eastAsia="宋体" w:cs="Times New Roman"/>
          <w:sz w:val="24"/>
          <w:szCs w:val="24"/>
          <w:highlight w:val="none"/>
          <w:lang w:eastAsia="zh-CN"/>
        </w:rPr>
        <w:t>；</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售后服务评价；</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绿色采购情况；</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政府采购节能环保产品；</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有机化合物实验箱的检测报告；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数码显微镜的检测报告；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生物技术与工程实验箱的检测报告；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三维磁感应强度传感器的检测报告；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声波/声级传感器的检测报告；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固体、液体和气体实验箱的检测报告；</w:t>
      </w:r>
    </w:p>
    <w:p>
      <w:pPr>
        <w:pageBreakBefore w:val="0"/>
        <w:numPr>
          <w:ilvl w:val="0"/>
          <w:numId w:val="6"/>
        </w:numPr>
        <w:kinsoku/>
        <w:wordWrap/>
        <w:overflowPunct/>
        <w:topLinePunct w:val="0"/>
        <w:autoSpaceDE/>
        <w:autoSpaceDN/>
        <w:bidi w:val="0"/>
        <w:snapToGrid w:val="0"/>
        <w:spacing w:line="320" w:lineRule="atLeast"/>
        <w:rPr>
          <w:rFonts w:ascii="宋体" w:hAnsi="宋体" w:eastAsia="宋体" w:cs="Times New Roman"/>
          <w:sz w:val="24"/>
          <w:szCs w:val="24"/>
          <w:highlight w:val="none"/>
        </w:rPr>
      </w:pPr>
      <w:r>
        <w:rPr>
          <w:rFonts w:hint="eastAsia" w:ascii="宋体" w:hAnsi="宋体" w:eastAsia="宋体" w:cs="Times New Roman"/>
          <w:sz w:val="24"/>
          <w:szCs w:val="24"/>
          <w:highlight w:val="none"/>
        </w:rPr>
        <w:t>其他招标文件要求或投标人认为需要补充的内容（非公开）。</w:t>
      </w:r>
    </w:p>
    <w:p>
      <w:pPr>
        <w:pageBreakBefore w:val="0"/>
        <w:kinsoku/>
        <w:wordWrap/>
        <w:overflowPunct/>
        <w:topLinePunct w:val="0"/>
        <w:autoSpaceDE/>
        <w:autoSpaceDN/>
        <w:bidi w:val="0"/>
        <w:spacing w:line="320" w:lineRule="atLeast"/>
        <w:rPr>
          <w:rFonts w:ascii="宋体" w:hAnsi="宋体"/>
          <w:b/>
          <w:sz w:val="24"/>
          <w:szCs w:val="24"/>
          <w:highlight w:val="none"/>
        </w:rPr>
      </w:pPr>
      <w:bookmarkStart w:id="24" w:name="_Hlk72257771"/>
      <w:r>
        <w:rPr>
          <w:rFonts w:hint="eastAsia" w:ascii="宋体" w:hAnsi="宋体"/>
          <w:b/>
          <w:sz w:val="24"/>
          <w:szCs w:val="24"/>
          <w:highlight w:val="none"/>
        </w:rPr>
        <w:t>备注：</w:t>
      </w:r>
    </w:p>
    <w:p>
      <w:pPr>
        <w:pageBreakBefore w:val="0"/>
        <w:kinsoku/>
        <w:wordWrap/>
        <w:overflowPunct/>
        <w:topLinePunct w:val="0"/>
        <w:autoSpaceDE/>
        <w:autoSpaceDN/>
        <w:bidi w:val="0"/>
        <w:snapToGrid w:val="0"/>
        <w:spacing w:line="320" w:lineRule="atLeast"/>
        <w:ind w:firstLine="482" w:firstLineChars="200"/>
        <w:rPr>
          <w:rFonts w:ascii="宋体" w:hAnsi="宋体"/>
          <w:b/>
          <w:sz w:val="24"/>
          <w:szCs w:val="24"/>
          <w:highlight w:val="none"/>
        </w:rPr>
      </w:pPr>
      <w:r>
        <w:rPr>
          <w:rFonts w:hint="eastAsia" w:ascii="宋体" w:hAnsi="宋体"/>
          <w:b/>
          <w:sz w:val="24"/>
          <w:szCs w:val="24"/>
          <w:highlight w:val="none"/>
        </w:rPr>
        <w:t>1.本项目为网上电子投标项目，投标文件不需法人或授权委托人另行签字，无需加盖单位公章，招标文件另有规定的除外。</w:t>
      </w:r>
    </w:p>
    <w:p>
      <w:pPr>
        <w:snapToGrid w:val="0"/>
        <w:spacing w:afterLines="25"/>
        <w:ind w:firstLine="482" w:firstLineChars="200"/>
        <w:rPr>
          <w:rFonts w:ascii="宋体" w:hAnsi="宋体" w:eastAsia="黑体" w:cs="Times New Roman"/>
          <w:bCs/>
          <w:kern w:val="44"/>
          <w:sz w:val="32"/>
          <w:szCs w:val="32"/>
          <w:highlight w:val="none"/>
        </w:rPr>
      </w:pPr>
      <w:bookmarkStart w:id="25" w:name="_Hlk72263559"/>
      <w:r>
        <w:rPr>
          <w:rFonts w:hint="eastAsia" w:ascii="宋体" w:hAnsi="宋体"/>
          <w:b/>
          <w:sz w:val="24"/>
          <w:szCs w:val="24"/>
          <w:highlight w:val="none"/>
        </w:rPr>
        <w:t>2.关于填写“开标一览表”的说明：“开标一览表”中除“投标总价”外，其他信息不作评审依据。</w:t>
      </w:r>
      <w:bookmarkEnd w:id="24"/>
      <w:bookmarkEnd w:id="25"/>
      <w:r>
        <w:rPr>
          <w:rFonts w:ascii="宋体" w:hAnsi="宋体" w:eastAsia="黑体" w:cs="Times New Roman"/>
          <w:bCs/>
          <w:kern w:val="44"/>
          <w:sz w:val="32"/>
          <w:szCs w:val="32"/>
          <w:highlight w:val="none"/>
        </w:rPr>
        <w:br w:type="page"/>
      </w:r>
    </w:p>
    <w:p>
      <w:pPr>
        <w:widowControl/>
        <w:jc w:val="left"/>
        <w:outlineLvl w:val="2"/>
        <w:rPr>
          <w:rFonts w:ascii="宋体" w:hAnsi="宋体" w:eastAsia="宋体" w:cs="宋体"/>
          <w:b/>
          <w:color w:val="FF0000"/>
          <w:kern w:val="0"/>
          <w:sz w:val="32"/>
          <w:szCs w:val="32"/>
          <w:highlight w:val="none"/>
        </w:rPr>
      </w:pPr>
      <w:r>
        <w:rPr>
          <w:rFonts w:hint="eastAsia" w:ascii="宋体" w:hAnsi="宋体" w:eastAsia="宋体" w:cs="宋体"/>
          <w:b/>
          <w:color w:val="FF0000"/>
          <w:kern w:val="0"/>
          <w:sz w:val="32"/>
          <w:szCs w:val="32"/>
          <w:highlight w:val="none"/>
        </w:rPr>
        <w:t>（一）投标文件正文（信息公开部分）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ascii="宋体" w:hAnsi="宋体" w:eastAsia="宋体" w:cs="Times New Roman"/>
          <w:b/>
          <w:bCs/>
          <w:kern w:val="0"/>
          <w:sz w:val="24"/>
          <w:szCs w:val="20"/>
          <w:highlight w:val="none"/>
        </w:rPr>
        <w:t>1.投标</w:t>
      </w:r>
      <w:r>
        <w:rPr>
          <w:rFonts w:hint="eastAsia" w:ascii="宋体" w:hAnsi="宋体" w:eastAsia="宋体" w:cs="Times New Roman"/>
          <w:b/>
          <w:bCs/>
          <w:kern w:val="0"/>
          <w:sz w:val="24"/>
          <w:szCs w:val="20"/>
          <w:highlight w:val="none"/>
        </w:rPr>
        <w:t>函</w:t>
      </w:r>
    </w:p>
    <w:p>
      <w:pPr>
        <w:snapToGrid w:val="0"/>
        <w:spacing w:line="360" w:lineRule="auto"/>
        <w:rPr>
          <w:rFonts w:ascii="Arial" w:hAnsi="Arial" w:eastAsia="宋体" w:cs="Times New Roman"/>
          <w:szCs w:val="24"/>
          <w:highlight w:val="none"/>
        </w:rPr>
      </w:pPr>
    </w:p>
    <w:p>
      <w:pPr>
        <w:snapToGrid w:val="0"/>
        <w:spacing w:line="360" w:lineRule="auto"/>
        <w:rPr>
          <w:rFonts w:ascii="Arial" w:hAnsi="Arial" w:eastAsia="宋体" w:cs="Arial"/>
          <w:szCs w:val="21"/>
          <w:highlight w:val="none"/>
          <w:u w:val="single"/>
        </w:rPr>
      </w:pPr>
      <w:r>
        <w:rPr>
          <w:rFonts w:ascii="Arial" w:hAnsi="Arial" w:eastAsia="宋体" w:cs="Arial"/>
          <w:szCs w:val="21"/>
          <w:highlight w:val="none"/>
        </w:rPr>
        <w:t>致：</w:t>
      </w:r>
      <w:r>
        <w:rPr>
          <w:rFonts w:hint="eastAsia" w:ascii="Arial" w:hAnsi="Arial" w:eastAsia="宋体" w:cs="Arial"/>
          <w:szCs w:val="21"/>
          <w:highlight w:val="none"/>
          <w:u w:val="single"/>
        </w:rPr>
        <w:t>深圳公共资源交易中心</w:t>
      </w:r>
    </w:p>
    <w:p>
      <w:pPr>
        <w:snapToGrid w:val="0"/>
        <w:spacing w:line="360" w:lineRule="auto"/>
        <w:rPr>
          <w:rFonts w:ascii="Arial" w:hAnsi="Arial" w:eastAsia="宋体" w:cs="Arial"/>
          <w:szCs w:val="21"/>
          <w:highlight w:val="none"/>
        </w:rPr>
      </w:pPr>
      <w:bookmarkStart w:id="26" w:name="_Hlk73818812"/>
      <w:r>
        <w:rPr>
          <w:rFonts w:hint="eastAsia" w:ascii="Arial" w:hAnsi="Arial" w:eastAsia="宋体" w:cs="Arial"/>
          <w:szCs w:val="21"/>
          <w:highlight w:val="none"/>
        </w:rPr>
        <w:t>1、根据已收到贵单位的项目编号为</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eastAsia="zh-CN"/>
        </w:rPr>
        <w:t>BAZXCG-2024-00367</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的</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eastAsia="zh-CN"/>
        </w:rPr>
        <w:t>深圳市福海中学常规教学仪器</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项目的招标文件，遵照《深圳经济特区政府采购条例》和《深圳网上政府采购管理暂行办法》等有关规定，我单位经研究上述招标文件的专用条款及通用条款后，</w:t>
      </w:r>
      <w:bookmarkStart w:id="27" w:name="_Hlk72263588"/>
      <w:r>
        <w:rPr>
          <w:rFonts w:hint="eastAsia" w:ascii="Arial" w:hAnsi="Arial" w:eastAsia="宋体" w:cs="Arial"/>
          <w:szCs w:val="21"/>
          <w:highlight w:val="none"/>
        </w:rPr>
        <w:t>愿意按照招标文件要求承包上述项目并修补其任何缺陷。</w:t>
      </w:r>
      <w:bookmarkEnd w:id="27"/>
    </w:p>
    <w:p>
      <w:pPr>
        <w:snapToGrid w:val="0"/>
        <w:spacing w:line="360" w:lineRule="auto"/>
        <w:rPr>
          <w:rFonts w:ascii="Arial" w:hAnsi="Arial" w:eastAsia="宋体" w:cs="Arial"/>
          <w:szCs w:val="21"/>
          <w:highlight w:val="none"/>
        </w:rPr>
      </w:pPr>
      <w:r>
        <w:rPr>
          <w:rFonts w:ascii="Arial" w:hAnsi="Arial" w:eastAsia="宋体" w:cs="Arial"/>
          <w:szCs w:val="21"/>
          <w:highlight w:val="none"/>
        </w:rPr>
        <w:t>2</w:t>
      </w:r>
      <w:r>
        <w:rPr>
          <w:rFonts w:hint="eastAsia" w:ascii="Arial" w:hAnsi="Arial" w:eastAsia="宋体" w:cs="Arial"/>
          <w:szCs w:val="21"/>
          <w:highlight w:val="none"/>
        </w:rPr>
        <w:t>、投标价格见投标书编制软件中《开标一览表》中填写的投标总价。</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3、如果我单位中标，我单位将按照招标文件的要求足额提交履约担保。</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4、我单位同意所递交的投标文件在“对通用条款的补充内容”中明确的投标有效期内有效，在此期间内我单位的投标有可能中标，我方将受此约束。</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5、除非另外达成协议并生效，贵单位的中标通知书和本投标文件将构成合同的重要内容。</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6、我单位理解贵单位将不受必须接受所收到的最低报价或其它任何投标文件的约束。</w:t>
      </w:r>
      <w:bookmarkEnd w:id="26"/>
    </w:p>
    <w:p>
      <w:pPr>
        <w:snapToGrid w:val="0"/>
        <w:spacing w:line="360" w:lineRule="auto"/>
        <w:rPr>
          <w:rFonts w:ascii="Arial" w:hAnsi="Arial" w:eastAsia="宋体" w:cs="Arial"/>
          <w:b/>
          <w:szCs w:val="21"/>
          <w:highlight w:val="none"/>
        </w:rPr>
      </w:pPr>
      <w:r>
        <w:rPr>
          <w:rFonts w:hint="eastAsia" w:ascii="Arial" w:hAnsi="Arial" w:eastAsia="宋体" w:cs="Arial"/>
          <w:b/>
          <w:szCs w:val="21"/>
          <w:highlight w:val="none"/>
        </w:rPr>
        <w:t>7</w:t>
      </w:r>
      <w:r>
        <w:rPr>
          <w:rFonts w:ascii="Arial" w:hAnsi="Arial" w:eastAsia="宋体" w:cs="Arial"/>
          <w:b/>
          <w:szCs w:val="21"/>
          <w:highlight w:val="none"/>
        </w:rPr>
        <w:t>、如我单位提交样品，且未在规定时间内取回样品的，视同放弃取回，同意深圳公共资源交易中心对我单位提交的样品进行清理。</w:t>
      </w:r>
    </w:p>
    <w:p>
      <w:pPr>
        <w:snapToGrid w:val="0"/>
        <w:spacing w:line="360" w:lineRule="auto"/>
        <w:rPr>
          <w:rFonts w:ascii="Arial" w:hAnsi="Arial" w:eastAsia="宋体" w:cs="Arial"/>
          <w:b/>
          <w:szCs w:val="21"/>
          <w:highlight w:val="none"/>
        </w:rPr>
      </w:pPr>
    </w:p>
    <w:p>
      <w:pPr>
        <w:snapToGrid w:val="0"/>
        <w:spacing w:line="360" w:lineRule="auto"/>
        <w:rPr>
          <w:rFonts w:ascii="Arial" w:hAnsi="Arial" w:eastAsia="宋体" w:cs="Arial"/>
          <w:szCs w:val="21"/>
          <w:highlight w:val="none"/>
          <w:u w:val="single"/>
        </w:rPr>
      </w:pPr>
      <w:r>
        <w:rPr>
          <w:rFonts w:hint="eastAsia" w:ascii="Arial" w:hAnsi="Arial" w:eastAsia="宋体" w:cs="Arial"/>
          <w:szCs w:val="21"/>
          <w:highlight w:val="none"/>
        </w:rPr>
        <w:t>投标人：</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val="en-US" w:eastAsia="zh-CN"/>
        </w:rPr>
        <w:t xml:space="preserve">   </w:t>
      </w:r>
      <w:r>
        <w:rPr>
          <w:rFonts w:hint="eastAsia" w:ascii="Arial" w:hAnsi="Arial" w:eastAsia="宋体" w:cs="Arial"/>
          <w:szCs w:val="21"/>
          <w:highlight w:val="none"/>
          <w:u w:val="none"/>
          <w:lang w:val="en-US" w:eastAsia="zh-CN"/>
        </w:rPr>
        <w:t xml:space="preserve">          </w:t>
      </w:r>
      <w:r>
        <w:rPr>
          <w:rFonts w:hint="eastAsia" w:ascii="Arial" w:hAnsi="Arial" w:eastAsia="宋体" w:cs="Arial"/>
          <w:szCs w:val="21"/>
          <w:highlight w:val="none"/>
        </w:rPr>
        <w:t>单位地址：</w:t>
      </w:r>
      <w:r>
        <w:rPr>
          <w:rFonts w:hint="eastAsia" w:ascii="Arial" w:hAnsi="Arial" w:eastAsia="宋体" w:cs="Arial"/>
          <w:szCs w:val="21"/>
          <w:highlight w:val="none"/>
          <w:u w:val="single"/>
        </w:rPr>
        <w:t xml:space="preserve">       </w:t>
      </w:r>
      <w:r>
        <w:rPr>
          <w:rFonts w:hint="eastAsia" w:ascii="Arial" w:hAnsi="Arial" w:eastAsia="宋体" w:cs="Arial"/>
          <w:szCs w:val="21"/>
          <w:highlight w:val="none"/>
          <w:u w:val="single"/>
          <w:lang w:val="en-US" w:eastAsia="zh-CN"/>
        </w:rPr>
        <w:t xml:space="preserve">     </w:t>
      </w:r>
      <w:r>
        <w:rPr>
          <w:rFonts w:hint="eastAsia" w:ascii="Arial" w:hAnsi="Arial" w:eastAsia="宋体" w:cs="Arial"/>
          <w:szCs w:val="21"/>
          <w:highlight w:val="none"/>
          <w:u w:val="single"/>
        </w:rPr>
        <w:t xml:space="preserve">    </w:t>
      </w:r>
    </w:p>
    <w:p>
      <w:pPr>
        <w:snapToGrid w:val="0"/>
        <w:spacing w:line="360" w:lineRule="auto"/>
        <w:rPr>
          <w:rFonts w:hint="eastAsia" w:ascii="Arial" w:hAnsi="Arial" w:eastAsia="宋体" w:cs="Arial"/>
          <w:szCs w:val="21"/>
          <w:highlight w:val="none"/>
          <w:u w:val="single"/>
        </w:rPr>
      </w:pPr>
      <w:r>
        <w:rPr>
          <w:rFonts w:hint="eastAsia" w:ascii="Arial" w:hAnsi="Arial" w:eastAsia="宋体" w:cs="Arial"/>
          <w:szCs w:val="21"/>
          <w:highlight w:val="none"/>
        </w:rPr>
        <w:t>法定代表人（负责人）或其</w:t>
      </w:r>
      <w:r>
        <w:rPr>
          <w:rFonts w:hint="eastAsia" w:ascii="Arial" w:hAnsi="Arial" w:eastAsia="宋体" w:cs="Arial"/>
          <w:szCs w:val="21"/>
          <w:highlight w:val="none"/>
          <w:lang w:val="en-US" w:eastAsia="zh-CN"/>
        </w:rPr>
        <w:t>授权委托</w:t>
      </w:r>
      <w:r>
        <w:rPr>
          <w:rFonts w:hint="eastAsia" w:ascii="Arial" w:hAnsi="Arial" w:eastAsia="宋体" w:cs="Arial"/>
          <w:szCs w:val="21"/>
          <w:highlight w:val="none"/>
        </w:rPr>
        <w:t>代理人：</w:t>
      </w:r>
      <w:r>
        <w:rPr>
          <w:rFonts w:hint="eastAsia" w:ascii="Arial" w:hAnsi="Arial" w:eastAsia="宋体" w:cs="Arial"/>
          <w:szCs w:val="21"/>
          <w:highlight w:val="none"/>
          <w:u w:val="single"/>
        </w:rPr>
        <w:t xml:space="preserve">           </w:t>
      </w:r>
    </w:p>
    <w:p>
      <w:pPr>
        <w:pStyle w:val="9"/>
        <w:rPr>
          <w:rFonts w:hint="default" w:ascii="Arial" w:hAnsi="Arial" w:eastAsia="宋体" w:cs="Arial"/>
          <w:b w:val="0"/>
          <w:bCs w:val="0"/>
          <w:szCs w:val="21"/>
          <w:highlight w:val="none"/>
          <w:u w:val="single"/>
          <w:lang w:val="en-US" w:eastAsia="zh-CN"/>
        </w:rPr>
      </w:pPr>
      <w:r>
        <w:rPr>
          <w:rFonts w:hint="eastAsia" w:ascii="Arial" w:hAnsi="Arial" w:eastAsia="宋体" w:cs="Arial"/>
          <w:b w:val="0"/>
          <w:bCs w:val="0"/>
          <w:szCs w:val="21"/>
          <w:highlight w:val="none"/>
          <w:u w:val="none"/>
          <w:lang w:val="en-US" w:eastAsia="zh-CN"/>
        </w:rPr>
        <w:t>开户银行名称：</w:t>
      </w:r>
      <w:r>
        <w:rPr>
          <w:rFonts w:hint="eastAsia" w:ascii="Arial" w:hAnsi="Arial" w:eastAsia="宋体" w:cs="Arial"/>
          <w:szCs w:val="21"/>
          <w:highlight w:val="none"/>
          <w:u w:val="single"/>
        </w:rPr>
        <w:t xml:space="preserve">           </w:t>
      </w:r>
    </w:p>
    <w:p>
      <w:pPr>
        <w:pStyle w:val="10"/>
        <w:rPr>
          <w:rFonts w:hint="default"/>
          <w:b w:val="0"/>
          <w:bCs w:val="0"/>
          <w:highlight w:val="none"/>
          <w:u w:val="single"/>
          <w:lang w:val="en-US" w:eastAsia="zh-CN"/>
        </w:rPr>
      </w:pPr>
      <w:r>
        <w:rPr>
          <w:rFonts w:hint="eastAsia" w:ascii="Arial" w:hAnsi="Arial" w:eastAsia="宋体" w:cs="Arial"/>
          <w:b w:val="0"/>
          <w:bCs w:val="0"/>
          <w:szCs w:val="21"/>
          <w:highlight w:val="none"/>
          <w:u w:val="none"/>
          <w:lang w:val="en-US" w:eastAsia="zh-CN"/>
        </w:rPr>
        <w:t>开户银行账号：</w:t>
      </w:r>
      <w:r>
        <w:rPr>
          <w:rFonts w:hint="eastAsia" w:ascii="Arial" w:hAnsi="Arial" w:eastAsia="宋体" w:cs="Arial"/>
          <w:b w:val="0"/>
          <w:bCs w:val="0"/>
          <w:szCs w:val="21"/>
          <w:highlight w:val="none"/>
          <w:u w:val="single"/>
          <w:lang w:val="en-US" w:eastAsia="zh-CN"/>
        </w:rPr>
        <w:t xml:space="preserve">           </w:t>
      </w:r>
    </w:p>
    <w:p>
      <w:pPr>
        <w:snapToGrid w:val="0"/>
        <w:spacing w:line="360" w:lineRule="auto"/>
        <w:rPr>
          <w:rFonts w:ascii="Arial" w:hAnsi="Arial" w:eastAsia="宋体" w:cs="Arial"/>
          <w:szCs w:val="21"/>
          <w:highlight w:val="none"/>
          <w:u w:val="single"/>
        </w:rPr>
      </w:pPr>
      <w:r>
        <w:rPr>
          <w:rFonts w:hint="eastAsia" w:ascii="Arial" w:hAnsi="Arial" w:eastAsia="宋体" w:cs="Arial"/>
          <w:szCs w:val="21"/>
          <w:highlight w:val="none"/>
        </w:rPr>
        <w:t>邮政编码：</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电话：</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传真：</w:t>
      </w:r>
      <w:r>
        <w:rPr>
          <w:rFonts w:hint="eastAsia" w:ascii="Arial" w:hAnsi="Arial" w:eastAsia="宋体" w:cs="Arial"/>
          <w:szCs w:val="21"/>
          <w:highlight w:val="none"/>
          <w:u w:val="single"/>
        </w:rPr>
        <w:t xml:space="preserve">           </w:t>
      </w:r>
    </w:p>
    <w:p>
      <w:pPr>
        <w:snapToGrid w:val="0"/>
        <w:spacing w:line="360" w:lineRule="auto"/>
        <w:rPr>
          <w:rFonts w:ascii="Arial" w:hAnsi="Arial" w:eastAsia="宋体" w:cs="Arial"/>
          <w:szCs w:val="21"/>
          <w:highlight w:val="none"/>
        </w:rPr>
      </w:pPr>
      <w:r>
        <w:rPr>
          <w:rFonts w:hint="eastAsia" w:ascii="Arial" w:hAnsi="Arial" w:eastAsia="宋体" w:cs="Arial"/>
          <w:szCs w:val="21"/>
          <w:highlight w:val="none"/>
        </w:rPr>
        <w:t>邮箱：</w:t>
      </w:r>
      <w:r>
        <w:rPr>
          <w:rFonts w:hint="eastAsia" w:ascii="Arial" w:hAnsi="Arial" w:eastAsia="宋体" w:cs="Arial"/>
          <w:szCs w:val="21"/>
          <w:highlight w:val="none"/>
          <w:u w:val="single"/>
        </w:rPr>
        <w:t xml:space="preserve">           </w:t>
      </w:r>
      <w:r>
        <w:rPr>
          <w:rFonts w:hint="eastAsia" w:ascii="Arial" w:hAnsi="Arial" w:eastAsia="宋体" w:cs="Arial"/>
          <w:szCs w:val="21"/>
          <w:highlight w:val="none"/>
        </w:rPr>
        <w:t xml:space="preserve"> </w:t>
      </w:r>
    </w:p>
    <w:p>
      <w:pPr>
        <w:snapToGrid w:val="0"/>
        <w:spacing w:line="360" w:lineRule="auto"/>
        <w:rPr>
          <w:rFonts w:ascii="Arial" w:hAnsi="Arial" w:eastAsia="宋体" w:cs="Arial"/>
          <w:szCs w:val="21"/>
          <w:highlight w:val="none"/>
        </w:rPr>
      </w:pPr>
    </w:p>
    <w:p>
      <w:pPr>
        <w:snapToGrid w:val="0"/>
        <w:spacing w:line="360" w:lineRule="auto"/>
        <w:rPr>
          <w:rFonts w:hint="eastAsia" w:ascii="Arial" w:hAnsi="Arial" w:eastAsia="宋体" w:cs="Arial"/>
          <w:szCs w:val="21"/>
          <w:highlight w:val="none"/>
        </w:rPr>
      </w:pPr>
      <w:r>
        <w:rPr>
          <w:rFonts w:hint="eastAsia" w:ascii="Arial" w:hAnsi="Arial" w:eastAsia="宋体" w:cs="Arial"/>
          <w:szCs w:val="21"/>
          <w:highlight w:val="none"/>
        </w:rPr>
        <w:t>日期： 年  月  日</w:t>
      </w:r>
    </w:p>
    <w:p>
      <w:pPr>
        <w:pStyle w:val="9"/>
        <w:rPr>
          <w:highlight w:val="none"/>
        </w:rPr>
      </w:pPr>
    </w:p>
    <w:p>
      <w:pPr>
        <w:spacing w:afterLines="25" w:line="300" w:lineRule="auto"/>
        <w:ind w:firstLine="420" w:firstLineChars="200"/>
        <w:rPr>
          <w:rFonts w:ascii="Arial" w:hAnsi="Arial" w:eastAsia="宋体" w:cs="Times New Roman"/>
          <w:sz w:val="24"/>
          <w:szCs w:val="24"/>
          <w:highlight w:val="none"/>
        </w:rPr>
      </w:pPr>
      <w:r>
        <w:rPr>
          <w:rFonts w:hint="eastAsia" w:ascii="Arial" w:hAnsi="Arial" w:eastAsia="宋体" w:cs="Arial"/>
          <w:szCs w:val="24"/>
          <w:highlight w:val="none"/>
        </w:rPr>
        <w:t>备注：为缓解中小企业融资难题，我市推出政府采购订单融资改革举措。订单融资具体流程及试点金融机构订单融资服务承诺可参阅深圳市政府采购监管网（www.zfcg.sz.gov.cn）信息公开栏目或深圳政府采购网（www.cgzx.sz.gov.cn）政府采购订单融资栏目。如需解决融资难题，请投标人填写财务负责人或企业负责人联系方式，以便金融机构提供更精准的融资服务。财务负责人/企业负责人的联系方式（可选填项）：</w:t>
      </w:r>
      <w:r>
        <w:rPr>
          <w:rFonts w:hint="eastAsia" w:ascii="Arial" w:hAnsi="Arial" w:eastAsia="宋体" w:cs="Arial"/>
          <w:szCs w:val="24"/>
          <w:highlight w:val="none"/>
          <w:u w:val="single"/>
        </w:rPr>
        <w:t xml:space="preserve">                 </w:t>
      </w:r>
      <w:r>
        <w:rPr>
          <w:rFonts w:hint="eastAsia" w:ascii="Arial" w:hAnsi="Arial" w:eastAsia="宋体" w:cs="Arial"/>
          <w:szCs w:val="24"/>
          <w:highlight w:val="none"/>
        </w:rPr>
        <w:t>。</w:t>
      </w:r>
    </w:p>
    <w:p>
      <w:pPr>
        <w:spacing w:afterLines="25" w:line="300" w:lineRule="auto"/>
        <w:ind w:firstLine="480" w:firstLineChars="200"/>
        <w:rPr>
          <w:rFonts w:ascii="Arial" w:hAnsi="Arial" w:eastAsia="宋体" w:cs="Times New Roman"/>
          <w:sz w:val="24"/>
          <w:szCs w:val="24"/>
          <w:highlight w:val="none"/>
        </w:rPr>
      </w:pPr>
    </w:p>
    <w:p>
      <w:pPr>
        <w:widowControl/>
        <w:snapToGrid w:val="0"/>
        <w:spacing w:line="360" w:lineRule="auto"/>
        <w:jc w:val="left"/>
        <w:rPr>
          <w:rFonts w:ascii="Arial" w:hAnsi="Arial" w:eastAsia="宋体" w:cs="Times New Roman"/>
          <w:szCs w:val="24"/>
          <w:highlight w:val="none"/>
        </w:rPr>
      </w:pPr>
      <w:r>
        <w:rPr>
          <w:rFonts w:ascii="Arial" w:hAnsi="Arial" w:eastAsia="宋体" w:cs="Times New Roman"/>
          <w:szCs w:val="24"/>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2.政府采购投标及履约承诺函</w:t>
      </w:r>
    </w:p>
    <w:p>
      <w:pPr>
        <w:adjustRightInd w:val="0"/>
        <w:snapToGrid w:val="0"/>
        <w:rPr>
          <w:rFonts w:ascii="宋体" w:hAnsi="宋体" w:eastAsia="宋体" w:cs="Times New Roman"/>
          <w:sz w:val="24"/>
          <w:szCs w:val="24"/>
          <w:highlight w:val="none"/>
        </w:rPr>
      </w:pPr>
      <w:r>
        <w:rPr>
          <w:rFonts w:hint="eastAsia" w:ascii="宋体" w:hAnsi="宋体" w:eastAsia="宋体" w:cs="Times New Roman"/>
          <w:sz w:val="24"/>
          <w:szCs w:val="24"/>
          <w:highlight w:val="none"/>
        </w:rPr>
        <w:t>致：</w:t>
      </w:r>
      <w:r>
        <w:rPr>
          <w:rFonts w:hint="eastAsia" w:ascii="宋体" w:hAnsi="宋体" w:eastAsia="宋体" w:cs="Times New Roman"/>
          <w:sz w:val="24"/>
          <w:szCs w:val="24"/>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val="0"/>
          <w:bCs/>
          <w:szCs w:val="21"/>
          <w:highlight w:val="none"/>
        </w:rPr>
        <w:t>1.我单位参与本项目所投标（响应）的货物、工程或服务，不存在侵犯知识产权的情况。</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2.我单位参与本项目</w:t>
      </w:r>
      <w:r>
        <w:rPr>
          <w:rFonts w:hint="eastAsia" w:asciiTheme="minorEastAsia" w:hAnsiTheme="minorEastAsia" w:eastAsiaTheme="minorEastAsia" w:cstheme="minorEastAsia"/>
          <w:highlight w:val="none"/>
        </w:rPr>
        <w:t>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3.我单位具备《中华人民共和国政府采购法》第二十二条第一款规定的六项条件。</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rPr>
      </w:pPr>
      <w:r>
        <w:rPr>
          <w:rFonts w:hint="eastAsia" w:asciiTheme="minorEastAsia" w:hAnsiTheme="minorEastAsia" w:eastAsiaTheme="minorEastAsia" w:cstheme="minorEastAsia"/>
          <w:szCs w:val="21"/>
          <w:highlight w:val="none"/>
        </w:rPr>
        <w:t>4.我单</w:t>
      </w:r>
      <w:r>
        <w:rPr>
          <w:rFonts w:hint="eastAsia" w:asciiTheme="minorEastAsia" w:hAnsiTheme="minorEastAsia" w:eastAsiaTheme="minorEastAsia" w:cstheme="minorEastAsia"/>
          <w:color w:val="010000"/>
          <w:szCs w:val="21"/>
          <w:highlight w:val="none"/>
        </w:rPr>
        <w:t>位</w:t>
      </w:r>
      <w:r>
        <w:rPr>
          <w:rFonts w:hint="eastAsia" w:asciiTheme="minorEastAsia" w:hAnsiTheme="minorEastAsia" w:eastAsiaTheme="minorEastAsia" w:cstheme="minorEastAsia"/>
          <w:color w:val="010000"/>
          <w:highlight w:val="none"/>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lang w:val="en-US" w:eastAsia="zh-CN"/>
        </w:rPr>
      </w:pPr>
      <w:r>
        <w:rPr>
          <w:rFonts w:hint="eastAsia" w:asciiTheme="minorEastAsia" w:hAnsiTheme="minorEastAsia" w:eastAsiaTheme="minorEastAsia" w:cstheme="minorEastAsia"/>
          <w:color w:val="010000"/>
          <w:highlight w:val="none"/>
          <w:lang w:val="en-US" w:eastAsia="zh-CN"/>
        </w:rPr>
        <w:t>5.我单位不存在《深圳市财政局政府采购供应商信用信息管理办法》（深财规〔2023〕3号）列明的严重违法失信行为。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6</w:t>
      </w:r>
      <w:r>
        <w:rPr>
          <w:rFonts w:hint="eastAsia" w:asciiTheme="minorEastAsia" w:hAnsiTheme="minorEastAsia" w:eastAsiaTheme="minorEastAsia" w:cstheme="minorEastAsia"/>
          <w:color w:val="010000"/>
          <w:szCs w:val="21"/>
          <w:highlight w:val="none"/>
        </w:rPr>
        <w:t>.</w:t>
      </w:r>
      <w:bookmarkStart w:id="28" w:name="_Hlk72587269"/>
      <w:bookmarkStart w:id="29" w:name="_Hlk72587299"/>
      <w:r>
        <w:rPr>
          <w:rFonts w:hint="eastAsia" w:asciiTheme="minorEastAsia" w:hAnsiTheme="minorEastAsia" w:eastAsiaTheme="minorEastAsia" w:cstheme="minorEastAsia"/>
          <w:color w:val="010000"/>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8"/>
      <w:r>
        <w:rPr>
          <w:rFonts w:hint="eastAsia" w:asciiTheme="minorEastAsia" w:hAnsiTheme="minorEastAsia" w:eastAsiaTheme="minorEastAsia" w:cstheme="minorEastAsia"/>
          <w:color w:val="010000"/>
          <w:szCs w:val="21"/>
          <w:highlight w:val="none"/>
        </w:rPr>
        <w:t>。</w:t>
      </w:r>
    </w:p>
    <w:bookmarkEnd w:id="29"/>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7</w:t>
      </w:r>
      <w:r>
        <w:rPr>
          <w:rFonts w:hint="eastAsia" w:asciiTheme="minorEastAsia" w:hAnsiTheme="minorEastAsia" w:eastAsiaTheme="minorEastAsia" w:cstheme="minorEastAsia"/>
          <w:color w:val="010000"/>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8</w:t>
      </w:r>
      <w:r>
        <w:rPr>
          <w:rFonts w:hint="eastAsia" w:asciiTheme="minorEastAsia" w:hAnsiTheme="minorEastAsia" w:eastAsiaTheme="minorEastAsia" w:cstheme="minorEastAsia"/>
          <w:color w:val="010000"/>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szCs w:val="21"/>
          <w:highlight w:val="none"/>
        </w:rPr>
      </w:pPr>
      <w:r>
        <w:rPr>
          <w:rFonts w:hint="eastAsia" w:asciiTheme="minorEastAsia" w:hAnsiTheme="minorEastAsia" w:eastAsiaTheme="minorEastAsia" w:cstheme="minorEastAsia"/>
          <w:color w:val="010000"/>
          <w:szCs w:val="21"/>
          <w:highlight w:val="none"/>
          <w:lang w:val="en-US" w:eastAsia="zh-CN"/>
        </w:rPr>
        <w:t>9</w:t>
      </w:r>
      <w:r>
        <w:rPr>
          <w:rFonts w:hint="eastAsia" w:asciiTheme="minorEastAsia" w:hAnsiTheme="minorEastAsia" w:eastAsiaTheme="minorEastAsia" w:cstheme="minorEastAsia"/>
          <w:color w:val="010000"/>
          <w:szCs w:val="21"/>
          <w:highlight w:val="none"/>
        </w:rPr>
        <w:t>.我单位承诺中标后项目不转包，未经采购人同意不进行分包。</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rPr>
      </w:pPr>
      <w:r>
        <w:rPr>
          <w:rFonts w:hint="eastAsia" w:asciiTheme="minorEastAsia" w:hAnsiTheme="minorEastAsia" w:eastAsiaTheme="minorEastAsia" w:cstheme="minorEastAsia"/>
          <w:color w:val="010000"/>
          <w:szCs w:val="21"/>
          <w:highlight w:val="none"/>
          <w:lang w:val="en-US" w:eastAsia="zh-CN"/>
        </w:rPr>
        <w:t>10</w:t>
      </w:r>
      <w:r>
        <w:rPr>
          <w:rFonts w:hint="eastAsia" w:asciiTheme="minorEastAsia" w:hAnsiTheme="minorEastAsia" w:eastAsiaTheme="minorEastAsia" w:cstheme="minorEastAsia"/>
          <w:color w:val="010000"/>
          <w:szCs w:val="21"/>
          <w:highlight w:val="none"/>
        </w:rPr>
        <w:t>.</w:t>
      </w:r>
      <w:r>
        <w:rPr>
          <w:rFonts w:hint="eastAsia" w:asciiTheme="minorEastAsia" w:hAnsiTheme="minorEastAsia" w:eastAsiaTheme="minorEastAsia" w:cstheme="minorEastAsia"/>
          <w:color w:val="010000"/>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color w:val="010000"/>
          <w:highlight w:val="none"/>
          <w:lang w:val="en-US" w:eastAsia="zh-CN"/>
        </w:rPr>
      </w:pPr>
      <w:r>
        <w:rPr>
          <w:rFonts w:hint="eastAsia" w:asciiTheme="minorEastAsia" w:hAnsiTheme="minorEastAsia" w:eastAsiaTheme="minorEastAsia" w:cstheme="minorEastAsia"/>
          <w:color w:val="010000"/>
          <w:highlight w:val="none"/>
        </w:rPr>
        <w:t>1</w:t>
      </w:r>
      <w:r>
        <w:rPr>
          <w:rFonts w:hint="eastAsia" w:asciiTheme="minorEastAsia" w:hAnsiTheme="minorEastAsia" w:eastAsiaTheme="minorEastAsia" w:cstheme="minorEastAsia"/>
          <w:color w:val="010000"/>
          <w:highlight w:val="none"/>
          <w:lang w:val="en-US" w:eastAsia="zh-CN"/>
        </w:rPr>
        <w:t>1</w:t>
      </w:r>
      <w:r>
        <w:rPr>
          <w:rFonts w:hint="eastAsia" w:asciiTheme="minorEastAsia" w:hAnsiTheme="minorEastAsia" w:eastAsiaTheme="minorEastAsia" w:cstheme="minorEastAsia"/>
          <w:color w:val="010000"/>
          <w:highlight w:val="none"/>
        </w:rPr>
        <w:t>.我单位保证，若所投货物涉及《财政部生态环境部关于印发节能产品政府采购品目清单的通知》（财库〔2019〕19号）列明的政府采购强制产品，则所投该产品符合节能产品的认证要求。</w:t>
      </w:r>
      <w:r>
        <w:rPr>
          <w:rFonts w:hint="eastAsia" w:asciiTheme="minorEastAsia" w:hAnsiTheme="minorEastAsia" w:eastAsiaTheme="minorEastAsia" w:cstheme="minorEastAsia"/>
          <w:color w:val="010000"/>
          <w:highlight w:val="none"/>
          <w:lang w:val="en-US" w:eastAsia="zh-CN"/>
        </w:rPr>
        <w:t>若所投产品包括数据中心相关设备的，应满足</w:t>
      </w:r>
      <w:r>
        <w:rPr>
          <w:rFonts w:hint="eastAsia" w:asciiTheme="minorEastAsia" w:hAnsiTheme="minorEastAsia" w:eastAsiaTheme="minorEastAsia" w:cstheme="minorEastAsia"/>
          <w:color w:val="010000"/>
          <w:highlight w:val="none"/>
        </w:rPr>
        <w:t>《财政部 生态环境部 工业和信息化部关于印发&lt;绿色数据中心政府采购需求标准（试行）&gt;的通知》</w:t>
      </w:r>
      <w:r>
        <w:rPr>
          <w:rFonts w:hint="eastAsia" w:asciiTheme="minorEastAsia" w:hAnsiTheme="minorEastAsia" w:eastAsiaTheme="minorEastAsia" w:cstheme="minorEastAsia"/>
          <w:color w:val="010000"/>
          <w:highlight w:val="none"/>
          <w:lang w:eastAsia="zh-CN"/>
        </w:rPr>
        <w:t>（</w:t>
      </w:r>
      <w:r>
        <w:rPr>
          <w:rFonts w:hint="eastAsia" w:asciiTheme="minorEastAsia" w:hAnsiTheme="minorEastAsia" w:eastAsiaTheme="minorEastAsia" w:cstheme="minorEastAsia"/>
          <w:color w:val="010000"/>
          <w:highlight w:val="none"/>
        </w:rPr>
        <w:t>财库〔2023〕7号）</w:t>
      </w:r>
      <w:r>
        <w:rPr>
          <w:rFonts w:hint="eastAsia" w:asciiTheme="minorEastAsia" w:hAnsiTheme="minorEastAsia" w:eastAsiaTheme="minorEastAsia" w:cstheme="minorEastAsia"/>
          <w:color w:val="010000"/>
          <w:highlight w:val="none"/>
          <w:lang w:val="en-US" w:eastAsia="zh-CN"/>
        </w:rPr>
        <w:t>要求。若所投产品涉及国家强制性标准的，所投产品应符合国家强制性标准相关要求。</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val="0"/>
          <w:bCs/>
          <w:color w:val="010000"/>
          <w:highlight w:val="none"/>
        </w:rPr>
      </w:pPr>
      <w:r>
        <w:rPr>
          <w:rFonts w:hint="eastAsia" w:asciiTheme="minorEastAsia" w:hAnsiTheme="minorEastAsia" w:eastAsiaTheme="minorEastAsia" w:cstheme="minorEastAsia"/>
          <w:b w:val="0"/>
          <w:bCs/>
          <w:color w:val="010000"/>
          <w:kern w:val="0"/>
          <w:szCs w:val="21"/>
          <w:highlight w:val="none"/>
        </w:rPr>
        <w:t>1</w:t>
      </w:r>
      <w:r>
        <w:rPr>
          <w:rFonts w:hint="eastAsia" w:asciiTheme="minorEastAsia" w:hAnsiTheme="minorEastAsia" w:eastAsiaTheme="minorEastAsia" w:cstheme="minorEastAsia"/>
          <w:b w:val="0"/>
          <w:bCs/>
          <w:color w:val="010000"/>
          <w:kern w:val="0"/>
          <w:szCs w:val="21"/>
          <w:highlight w:val="none"/>
          <w:lang w:val="en-US" w:eastAsia="zh-CN"/>
        </w:rPr>
        <w:t>2</w:t>
      </w:r>
      <w:r>
        <w:rPr>
          <w:rFonts w:hint="eastAsia" w:asciiTheme="minorEastAsia" w:hAnsiTheme="minorEastAsia" w:eastAsiaTheme="minorEastAsia" w:cstheme="minorEastAsia"/>
          <w:b w:val="0"/>
          <w:bCs/>
          <w:color w:val="010000"/>
          <w:kern w:val="0"/>
          <w:szCs w:val="21"/>
          <w:highlight w:val="none"/>
        </w:rPr>
        <w:t>.</w:t>
      </w:r>
      <w:r>
        <w:rPr>
          <w:rFonts w:hint="eastAsia" w:asciiTheme="minorEastAsia" w:hAnsiTheme="minorEastAsia" w:eastAsiaTheme="minorEastAsia" w:cstheme="minorEastAsia"/>
          <w:b w:val="0"/>
          <w:bCs/>
          <w:color w:val="010000"/>
          <w:highlight w:val="none"/>
        </w:rPr>
        <w:t>我单位已知悉并同意中标（成交）结果信息公示（公开）的内容。</w:t>
      </w:r>
    </w:p>
    <w:p>
      <w:pPr>
        <w:keepNext w:val="0"/>
        <w:keepLines w:val="0"/>
        <w:pageBreakBefore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b/>
          <w:color w:val="FF0000"/>
          <w:kern w:val="0"/>
          <w:szCs w:val="21"/>
          <w:highlight w:val="none"/>
          <w:lang w:eastAsia="zh-CN"/>
        </w:rPr>
      </w:pPr>
      <w:r>
        <w:rPr>
          <w:rFonts w:hint="eastAsia" w:asciiTheme="minorEastAsia" w:hAnsiTheme="minorEastAsia" w:eastAsiaTheme="minorEastAsia" w:cstheme="minorEastAsia"/>
          <w:b w:val="0"/>
          <w:bCs/>
          <w:color w:val="010000"/>
          <w:highlight w:val="none"/>
        </w:rPr>
        <w:t>1</w:t>
      </w:r>
      <w:r>
        <w:rPr>
          <w:rFonts w:hint="eastAsia" w:asciiTheme="minorEastAsia" w:hAnsiTheme="minorEastAsia" w:eastAsiaTheme="minorEastAsia" w:cstheme="minorEastAsia"/>
          <w:b w:val="0"/>
          <w:bCs/>
          <w:color w:val="010000"/>
          <w:highlight w:val="none"/>
          <w:lang w:val="en-US" w:eastAsia="zh-CN"/>
        </w:rPr>
        <w:t>3</w:t>
      </w:r>
      <w:r>
        <w:rPr>
          <w:rFonts w:hint="eastAsia" w:asciiTheme="minorEastAsia" w:hAnsiTheme="minorEastAsia" w:eastAsiaTheme="minorEastAsia" w:cstheme="minorEastAsia"/>
          <w:b w:val="0"/>
          <w:bCs/>
          <w:color w:val="010000"/>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Theme="minorEastAsia" w:hAnsiTheme="minorEastAsia" w:eastAsiaTheme="minorEastAsia" w:cstheme="minorEastAsia"/>
          <w:b w:val="0"/>
          <w:bCs/>
          <w:color w:val="010000"/>
          <w:highlight w:val="none"/>
          <w:lang w:val="en-US" w:eastAsia="zh-CN"/>
        </w:rPr>
        <w:t>若</w:t>
      </w:r>
      <w:r>
        <w:rPr>
          <w:rFonts w:hint="eastAsia" w:asciiTheme="minorEastAsia" w:hAnsiTheme="minorEastAsia" w:eastAsiaTheme="minorEastAsia" w:cstheme="minorEastAsia"/>
          <w:b w:val="0"/>
          <w:bCs/>
          <w:color w:val="010000"/>
          <w:highlight w:val="none"/>
        </w:rPr>
        <w:t>存在“不同供应商的董事、股东或其他高级管理人员为同一人的”情形的，</w:t>
      </w:r>
      <w:r>
        <w:rPr>
          <w:rFonts w:hint="eastAsia" w:asciiTheme="minorEastAsia" w:hAnsiTheme="minorEastAsia" w:eastAsiaTheme="minorEastAsia" w:cstheme="minorEastAsia"/>
          <w:b w:val="0"/>
          <w:bCs/>
          <w:color w:val="010000"/>
          <w:highlight w:val="none"/>
          <w:lang w:val="en-US" w:eastAsia="zh-CN"/>
        </w:rPr>
        <w:t>我单位保证</w:t>
      </w:r>
      <w:r>
        <w:rPr>
          <w:rFonts w:hint="eastAsia" w:asciiTheme="minorEastAsia" w:hAnsiTheme="minorEastAsia" w:eastAsiaTheme="minorEastAsia" w:cstheme="minorEastAsia"/>
          <w:b w:val="0"/>
          <w:bCs/>
          <w:color w:val="010000"/>
          <w:highlight w:val="none"/>
        </w:rPr>
        <w:t>不存在串通投标、恶意串通或者视为串通投标的情形</w:t>
      </w:r>
      <w:r>
        <w:rPr>
          <w:rFonts w:hint="eastAsia" w:asciiTheme="minorEastAsia" w:hAnsiTheme="minorEastAsia" w:eastAsiaTheme="minorEastAsia" w:cstheme="minorEastAsia"/>
          <w:b w:val="0"/>
          <w:bCs/>
          <w:color w:val="010000"/>
          <w:highlight w:val="none"/>
          <w:lang w:eastAsia="zh-CN"/>
        </w:rPr>
        <w:t>。</w:t>
      </w:r>
    </w:p>
    <w:p>
      <w:pPr>
        <w:keepNext w:val="0"/>
        <w:keepLines w:val="0"/>
        <w:pageBreakBefore w:val="0"/>
        <w:kinsoku/>
        <w:wordWrap/>
        <w:overflowPunct/>
        <w:topLinePunct w:val="0"/>
        <w:autoSpaceDE/>
        <w:autoSpaceDN/>
        <w:bidi w:val="0"/>
        <w:adjustRightInd/>
        <w:snapToGrid w:val="0"/>
        <w:ind w:firstLine="422" w:firstLineChars="200"/>
        <w:textAlignment w:val="auto"/>
        <w:rPr>
          <w:rFonts w:hint="eastAsia" w:asciiTheme="minorEastAsia" w:hAnsiTheme="minorEastAsia" w:eastAsiaTheme="minorEastAsia" w:cstheme="minorEastAsia"/>
          <w:b/>
          <w:szCs w:val="21"/>
          <w:highlight w:val="none"/>
          <w:lang w:val="en-US"/>
        </w:rPr>
      </w:pPr>
      <w:r>
        <w:rPr>
          <w:rFonts w:hint="eastAsia" w:asciiTheme="minorEastAsia" w:hAnsiTheme="minorEastAsia" w:eastAsiaTheme="minorEastAsia" w:cstheme="minorEastAsia"/>
          <w:b/>
          <w:highlight w:val="none"/>
          <w:lang w:val="en-US" w:eastAsia="zh-CN"/>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ascii="宋体" w:hAnsi="宋体"/>
          <w:b/>
          <w:highlight w:val="none"/>
        </w:rPr>
      </w:pPr>
    </w:p>
    <w:p>
      <w:pPr>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以上承诺，如有违反，愿依照国家相关法律法规处理，并承担由此给采购人带来的损失。</w:t>
      </w:r>
    </w:p>
    <w:p>
      <w:pPr>
        <w:ind w:firstLine="480" w:firstLineChars="200"/>
        <w:rPr>
          <w:rFonts w:hint="eastAsia" w:ascii="宋体" w:hAnsi="宋体" w:eastAsia="宋体" w:cs="Times New Roman"/>
          <w:szCs w:val="21"/>
          <w:highlight w:val="none"/>
        </w:rPr>
      </w:pPr>
      <w:r>
        <w:rPr>
          <w:rFonts w:hint="eastAsia" w:ascii="宋体" w:hAnsi="宋体" w:eastAsia="宋体" w:cs="Times New Roman"/>
          <w:sz w:val="24"/>
          <w:szCs w:val="24"/>
          <w:highlight w:val="none"/>
        </w:rPr>
        <w:t xml:space="preserve">                        </w:t>
      </w:r>
      <w:r>
        <w:rPr>
          <w:rFonts w:hint="eastAsia" w:ascii="宋体" w:hAnsi="宋体" w:eastAsia="宋体" w:cs="Times New Roman"/>
          <w:szCs w:val="21"/>
          <w:highlight w:val="none"/>
        </w:rPr>
        <w:t>投标单位（投标人）名称：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 xml:space="preserve">                </w:t>
      </w:r>
    </w:p>
    <w:p>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pPr>
        <w:widowControl/>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Cs w:val="21"/>
          <w:highlight w:val="none"/>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3.</w:t>
      </w:r>
      <w:r>
        <w:rPr>
          <w:rFonts w:hint="eastAsia" w:ascii="宋体" w:hAnsi="宋体" w:eastAsia="宋体" w:cs="Times New Roman"/>
          <w:b/>
          <w:bCs/>
          <w:kern w:val="0"/>
          <w:sz w:val="24"/>
          <w:szCs w:val="20"/>
          <w:highlight w:val="none"/>
        </w:rPr>
        <w:t>投标人情况及资格证明文件</w:t>
      </w:r>
    </w:p>
    <w:p>
      <w:pPr>
        <w:spacing w:before="120" w:beforeLines="50"/>
        <w:jc w:val="center"/>
        <w:rPr>
          <w:rFonts w:hint="eastAsia"/>
          <w:b/>
          <w:bCs/>
          <w:color w:val="FF0000"/>
          <w:highlight w:val="none"/>
        </w:rPr>
      </w:pP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lang w:val="en-US" w:eastAsia="zh-CN"/>
        </w:rPr>
        <w:t>1</w:t>
      </w: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rPr>
        <w:t>投标人资格证明文件</w:t>
      </w:r>
    </w:p>
    <w:p>
      <w:pPr>
        <w:spacing w:before="120" w:beforeLines="50"/>
        <w:jc w:val="center"/>
        <w:rPr>
          <w:rFonts w:hint="eastAsia"/>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2.政府采购投标及履约承诺函”章节中提供了，此处可不重复提供。）</w:t>
      </w:r>
    </w:p>
    <w:p>
      <w:pPr>
        <w:spacing w:before="120" w:beforeLines="50"/>
        <w:jc w:val="center"/>
        <w:rPr>
          <w:rFonts w:hint="eastAsia"/>
          <w:b/>
          <w:bCs/>
          <w:color w:val="FF0000"/>
          <w:highlight w:val="none"/>
        </w:rPr>
      </w:pPr>
    </w:p>
    <w:p>
      <w:pPr>
        <w:pStyle w:val="9"/>
        <w:rPr>
          <w:rFonts w:hint="eastAsia"/>
          <w:highlight w:val="none"/>
        </w:rPr>
      </w:pPr>
    </w:p>
    <w:p>
      <w:pPr>
        <w:spacing w:before="120" w:beforeLines="50"/>
        <w:jc w:val="center"/>
        <w:rPr>
          <w:rFonts w:hint="default" w:ascii="宋体" w:hAnsi="宋体" w:eastAsia="宋体" w:cs="Times New Roman"/>
          <w:b/>
          <w:bCs/>
          <w:kern w:val="0"/>
          <w:sz w:val="24"/>
          <w:szCs w:val="20"/>
          <w:highlight w:val="none"/>
          <w:lang w:val="en-US"/>
        </w:rPr>
      </w:pP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lang w:val="en-US" w:eastAsia="zh-CN"/>
        </w:rPr>
        <w:t>2</w:t>
      </w:r>
      <w:r>
        <w:rPr>
          <w:rFonts w:hint="eastAsia" w:ascii="黑体" w:hAnsi="宋体" w:eastAsia="黑体"/>
          <w:bCs/>
          <w:kern w:val="0"/>
          <w:sz w:val="24"/>
          <w:szCs w:val="32"/>
          <w:highlight w:val="none"/>
          <w:lang w:eastAsia="zh-CN"/>
        </w:rPr>
        <w:t>）</w:t>
      </w:r>
      <w:r>
        <w:rPr>
          <w:rFonts w:hint="eastAsia" w:ascii="黑体" w:hAnsi="宋体" w:eastAsia="黑体"/>
          <w:bCs/>
          <w:kern w:val="0"/>
          <w:sz w:val="24"/>
          <w:szCs w:val="32"/>
          <w:highlight w:val="none"/>
        </w:rPr>
        <w:t>中小企业声明函、残疾人福利性单位声明函及监狱企业声明函</w:t>
      </w:r>
    </w:p>
    <w:p>
      <w:pPr>
        <w:snapToGrid w:val="0"/>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填写指引：</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1、该部分内容由投标人根据自身实际情况填写。投标人提供的声明函不属实的，属于提供虚假资料谋取中标，依照《中华人民共和国政府采购法》等国家有关规定追究相应责任。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2、该部分内容填写需要参考的相关文件：</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(2)《工业和信息化部、国家统计局、国家发展和改革委员会、财政部关于印发中小企业划型标准规定的通知》（工信部联企业〔2011〕300 号，以下简称300号文）</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lang w:eastAsia="zh-CN"/>
        </w:rPr>
      </w:pPr>
      <w:r>
        <w:rPr>
          <w:rFonts w:hint="eastAsia" w:ascii="黑体" w:hAnsi="黑体" w:eastAsia="黑体" w:cs="黑体"/>
          <w:b w:val="0"/>
          <w:bCs/>
          <w:color w:val="FF0000"/>
          <w:sz w:val="21"/>
          <w:szCs w:val="21"/>
          <w:highlight w:val="none"/>
        </w:rPr>
        <w:t>(3)《统计上大中小微型企业划分办法(2017)》（国统字〔2017〕213 号）</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lang w:eastAsia="zh-CN"/>
        </w:rPr>
      </w:pPr>
      <w:r>
        <w:rPr>
          <w:rFonts w:hint="eastAsia" w:ascii="黑体" w:hAnsi="黑体" w:eastAsia="黑体" w:cs="黑体"/>
          <w:b w:val="0"/>
          <w:bCs/>
          <w:color w:val="FF0000"/>
          <w:sz w:val="21"/>
          <w:szCs w:val="21"/>
          <w:highlight w:val="none"/>
        </w:rPr>
        <w:t>(4)《关于促进残疾人就业政府采购政策的通知》（财库〔2017〕141号）</w:t>
      </w:r>
      <w:r>
        <w:rPr>
          <w:rFonts w:hint="eastAsia" w:ascii="黑体" w:hAnsi="黑体" w:eastAsia="黑体" w:cs="黑体"/>
          <w:b w:val="0"/>
          <w:bCs/>
          <w:color w:val="FF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3、请依照提供的格式和内容填写声明函，不要随意变更格式；声明函不需要盖章或签字；</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4、声明函具体填写要求：</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第一处，在“</w:t>
      </w:r>
      <w:r>
        <w:rPr>
          <w:rFonts w:hint="eastAsia" w:ascii="黑体" w:hAnsi="黑体" w:eastAsia="黑体" w:cs="黑体"/>
          <w:b w:val="0"/>
          <w:bCs/>
          <w:color w:val="FF0000"/>
          <w:sz w:val="21"/>
          <w:szCs w:val="21"/>
          <w:highlight w:val="none"/>
          <w:lang w:val="en-US" w:eastAsia="zh-CN"/>
        </w:rPr>
        <w:t>采购人</w:t>
      </w:r>
      <w:r>
        <w:rPr>
          <w:rFonts w:hint="eastAsia" w:ascii="黑体" w:hAnsi="黑体" w:eastAsia="黑体" w:cs="黑体"/>
          <w:b w:val="0"/>
          <w:bCs/>
          <w:color w:val="FF0000"/>
          <w:sz w:val="21"/>
          <w:szCs w:val="21"/>
          <w:highlight w:val="none"/>
        </w:rPr>
        <w:t>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第三处，在“标的名称”下划线处填写所采购货物（标的）的具体名称</w:t>
      </w:r>
      <w:r>
        <w:rPr>
          <w:rFonts w:hint="eastAsia" w:ascii="黑体" w:hAnsi="黑体" w:eastAsia="黑体" w:cs="黑体"/>
          <w:b w:val="0"/>
          <w:bCs/>
          <w:color w:val="0000FF"/>
          <w:sz w:val="21"/>
          <w:szCs w:val="21"/>
          <w:highlight w:val="none"/>
        </w:rPr>
        <w:t>（以招标文件第一册第三章用户需求书“货物</w:t>
      </w:r>
      <w:r>
        <w:rPr>
          <w:rFonts w:hint="eastAsia" w:ascii="黑体" w:hAnsi="黑体" w:eastAsia="黑体" w:cs="黑体"/>
          <w:b w:val="0"/>
          <w:bCs/>
          <w:color w:val="0000FF"/>
          <w:sz w:val="21"/>
          <w:szCs w:val="21"/>
          <w:highlight w:val="none"/>
          <w:lang w:val="en-US" w:eastAsia="zh-CN"/>
        </w:rPr>
        <w:t>需求</w:t>
      </w:r>
      <w:r>
        <w:rPr>
          <w:rFonts w:hint="eastAsia" w:ascii="黑体" w:hAnsi="黑体" w:eastAsia="黑体" w:cs="黑体"/>
          <w:b w:val="0"/>
          <w:bCs/>
          <w:color w:val="0000FF"/>
          <w:sz w:val="21"/>
          <w:szCs w:val="21"/>
          <w:highlight w:val="none"/>
        </w:rPr>
        <w:t>明细”的“货物名称”一栏为准）</w:t>
      </w:r>
      <w:r>
        <w:rPr>
          <w:rFonts w:hint="eastAsia" w:ascii="黑体" w:hAnsi="黑体" w:eastAsia="黑体" w:cs="黑体"/>
          <w:b w:val="0"/>
          <w:bCs/>
          <w:color w:val="FF0000"/>
          <w:sz w:val="21"/>
          <w:szCs w:val="21"/>
          <w:highlight w:val="none"/>
        </w:rPr>
        <w:t>；如果涉及多项货物（标的）为同一企业制造，“标的名称”下划线处可以如实填写多项货物；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第四处，在“招标文件中明确的所属行业”下划线处填写采购标的对应的中小企业划分标准所属行业</w:t>
      </w:r>
      <w:r>
        <w:rPr>
          <w:rFonts w:hint="eastAsia" w:ascii="黑体" w:hAnsi="黑体" w:eastAsia="黑体" w:cs="黑体"/>
          <w:b w:val="0"/>
          <w:bCs w:val="0"/>
          <w:color w:val="0000FF"/>
          <w:sz w:val="21"/>
          <w:szCs w:val="21"/>
          <w:highlight w:val="none"/>
        </w:rPr>
        <w:t>（所属行业</w:t>
      </w:r>
      <w:r>
        <w:rPr>
          <w:rFonts w:hint="eastAsia" w:ascii="黑体" w:hAnsi="黑体" w:eastAsia="黑体" w:cs="黑体"/>
          <w:b w:val="0"/>
          <w:bCs w:val="0"/>
          <w:color w:val="0000FF"/>
          <w:sz w:val="21"/>
          <w:szCs w:val="21"/>
          <w:highlight w:val="none"/>
          <w:lang w:val="en-US" w:eastAsia="zh-CN"/>
        </w:rPr>
        <w:t>详见</w:t>
      </w:r>
      <w:r>
        <w:rPr>
          <w:rFonts w:hint="eastAsia" w:ascii="黑体" w:hAnsi="黑体" w:eastAsia="黑体" w:cs="黑体"/>
          <w:b w:val="0"/>
          <w:bCs w:val="0"/>
          <w:color w:val="0000FF"/>
          <w:sz w:val="21"/>
          <w:szCs w:val="21"/>
          <w:highlight w:val="none"/>
        </w:rPr>
        <w:t>招标文件第一册第二章“对通用条款的补充内容及其他关键信息”章节</w:t>
      </w:r>
      <w:r>
        <w:rPr>
          <w:rFonts w:hint="eastAsia" w:ascii="黑体" w:hAnsi="黑体" w:eastAsia="黑体" w:cs="黑体"/>
          <w:b w:val="0"/>
          <w:bCs w:val="0"/>
          <w:color w:val="0000FF"/>
          <w:sz w:val="21"/>
          <w:szCs w:val="21"/>
          <w:highlight w:val="none"/>
          <w:lang w:val="en-US" w:eastAsia="zh-CN"/>
        </w:rPr>
        <w:t>或</w:t>
      </w:r>
      <w:r>
        <w:rPr>
          <w:rFonts w:hint="eastAsia" w:ascii="黑体" w:hAnsi="黑体" w:eastAsia="黑体" w:cs="黑体"/>
          <w:b w:val="0"/>
          <w:bCs w:val="0"/>
          <w:color w:val="0000FF"/>
          <w:sz w:val="21"/>
          <w:szCs w:val="21"/>
          <w:highlight w:val="none"/>
        </w:rPr>
        <w:t>第三章用户需求书“</w:t>
      </w:r>
      <w:r>
        <w:rPr>
          <w:rFonts w:hint="eastAsia" w:ascii="黑体" w:hAnsi="黑体" w:eastAsia="黑体" w:cs="黑体"/>
          <w:b w:val="0"/>
          <w:bCs w:val="0"/>
          <w:color w:val="0000FF"/>
          <w:sz w:val="21"/>
          <w:szCs w:val="21"/>
          <w:highlight w:val="none"/>
          <w:lang w:val="en-US" w:eastAsia="zh-CN"/>
        </w:rPr>
        <w:t>货物需求</w:t>
      </w:r>
      <w:r>
        <w:rPr>
          <w:rFonts w:hint="eastAsia" w:ascii="黑体" w:hAnsi="黑体" w:eastAsia="黑体" w:cs="黑体"/>
          <w:b w:val="0"/>
          <w:bCs w:val="0"/>
          <w:color w:val="0000FF"/>
          <w:sz w:val="21"/>
          <w:szCs w:val="21"/>
          <w:highlight w:val="none"/>
        </w:rPr>
        <w:t>明细”</w:t>
      </w:r>
      <w:r>
        <w:rPr>
          <w:rFonts w:hint="eastAsia" w:ascii="黑体" w:hAnsi="黑体" w:eastAsia="黑体" w:cs="黑体"/>
          <w:b w:val="0"/>
          <w:bCs w:val="0"/>
          <w:color w:val="0000FF"/>
          <w:sz w:val="21"/>
          <w:szCs w:val="21"/>
          <w:highlight w:val="none"/>
          <w:lang w:val="en-US" w:eastAsia="zh-CN"/>
        </w:rPr>
        <w:t>中的所属行业信息</w:t>
      </w:r>
      <w:r>
        <w:rPr>
          <w:rFonts w:hint="eastAsia" w:ascii="黑体" w:hAnsi="黑体" w:eastAsia="黑体" w:cs="黑体"/>
          <w:b w:val="0"/>
          <w:bCs w:val="0"/>
          <w:color w:val="0000FF"/>
          <w:sz w:val="21"/>
          <w:szCs w:val="21"/>
          <w:highlight w:val="none"/>
        </w:rPr>
        <w:t>）</w:t>
      </w:r>
      <w:r>
        <w:rPr>
          <w:rFonts w:hint="eastAsia" w:ascii="黑体" w:hAnsi="黑体" w:eastAsia="黑体" w:cs="黑体"/>
          <w:b w:val="0"/>
          <w:bCs/>
          <w:color w:val="FF0000"/>
          <w:sz w:val="21"/>
          <w:szCs w:val="21"/>
          <w:highlight w:val="none"/>
        </w:rPr>
        <w:t>；</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黑体" w:eastAsia="黑体" w:cs="黑体"/>
          <w:b w:val="0"/>
          <w:bCs/>
          <w:color w:val="FF0000"/>
          <w:sz w:val="21"/>
          <w:szCs w:val="21"/>
          <w:highlight w:val="none"/>
        </w:rPr>
      </w:pPr>
      <w:r>
        <w:rPr>
          <w:rFonts w:hint="eastAsia" w:ascii="黑体" w:hAnsi="黑体" w:eastAsia="黑体" w:cs="黑体"/>
          <w:b w:val="0"/>
          <w:bCs/>
          <w:color w:val="FF0000"/>
          <w:sz w:val="21"/>
          <w:szCs w:val="21"/>
          <w:highlight w:val="none"/>
        </w:rPr>
        <w:t>5、若本项目属于专门面向中小企业、残疾人福利性单位或监狱企业</w:t>
      </w:r>
      <w:r>
        <w:rPr>
          <w:rFonts w:hint="eastAsia" w:ascii="黑体" w:hAnsi="黑体" w:eastAsia="黑体" w:cs="黑体"/>
          <w:b w:val="0"/>
          <w:bCs/>
          <w:color w:val="FF0000"/>
          <w:sz w:val="21"/>
          <w:szCs w:val="21"/>
          <w:highlight w:val="none"/>
          <w:lang w:eastAsia="zh-CN"/>
        </w:rPr>
        <w:t>（</w:t>
      </w:r>
      <w:r>
        <w:rPr>
          <w:rFonts w:hint="eastAsia" w:ascii="黑体" w:hAnsi="黑体" w:eastAsia="黑体" w:cs="黑体"/>
          <w:b w:val="0"/>
          <w:bCs/>
          <w:color w:val="FF0000"/>
          <w:sz w:val="21"/>
          <w:szCs w:val="21"/>
          <w:highlight w:val="none"/>
          <w:lang w:val="en-US" w:eastAsia="zh-CN"/>
        </w:rPr>
        <w:t>包括联合体或分包预留中小企业份额的</w:t>
      </w:r>
      <w:r>
        <w:rPr>
          <w:rFonts w:hint="eastAsia" w:ascii="黑体" w:hAnsi="黑体" w:eastAsia="黑体" w:cs="黑体"/>
          <w:b w:val="0"/>
          <w:bCs/>
          <w:color w:val="FF0000"/>
          <w:sz w:val="21"/>
          <w:szCs w:val="21"/>
          <w:highlight w:val="none"/>
          <w:lang w:eastAsia="zh-CN"/>
        </w:rPr>
        <w:t>）</w:t>
      </w:r>
      <w:r>
        <w:rPr>
          <w:rFonts w:hint="eastAsia" w:ascii="黑体" w:hAnsi="黑体" w:eastAsia="黑体" w:cs="黑体"/>
          <w:b w:val="0"/>
          <w:bCs/>
          <w:color w:val="FF0000"/>
          <w:sz w:val="21"/>
          <w:szCs w:val="21"/>
          <w:highlight w:val="none"/>
        </w:rPr>
        <w:t>，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snapToGrid w:val="0"/>
        <w:rPr>
          <w:rFonts w:ascii="仿宋" w:hAnsi="仿宋" w:eastAsia="仿宋"/>
          <w:b/>
          <w:color w:val="FF0000"/>
          <w:sz w:val="25"/>
          <w:szCs w:val="25"/>
          <w:highlight w:val="none"/>
        </w:rPr>
      </w:pPr>
    </w:p>
    <w:p>
      <w:pPr>
        <w:pStyle w:val="9"/>
        <w:rPr>
          <w:highlight w:val="none"/>
        </w:rPr>
      </w:pPr>
    </w:p>
    <w:p>
      <w:pPr>
        <w:jc w:val="center"/>
        <w:rPr>
          <w:rFonts w:ascii="Arial" w:hAnsi="Arial" w:eastAsia="宋体" w:cs="Times New Roman"/>
          <w:b/>
          <w:sz w:val="24"/>
          <w:szCs w:val="24"/>
          <w:highlight w:val="none"/>
        </w:rPr>
      </w:pPr>
      <w:r>
        <w:rPr>
          <w:rFonts w:ascii="宋体" w:hAnsi="宋体" w:eastAsia="宋体" w:cs="Times New Roman"/>
          <w:b/>
          <w:bCs/>
          <w:sz w:val="24"/>
          <w:szCs w:val="24"/>
          <w:highlight w:val="none"/>
        </w:rPr>
        <w:fldChar w:fldCharType="begin"/>
      </w:r>
      <w:r>
        <w:rPr>
          <w:rFonts w:ascii="宋体" w:hAnsi="宋体" w:eastAsia="宋体" w:cs="Times New Roman"/>
          <w:b/>
          <w:sz w:val="24"/>
          <w:szCs w:val="24"/>
          <w:highlight w:val="none"/>
        </w:rPr>
        <w:instrText xml:space="preserve"> </w:instrText>
      </w:r>
      <w:r>
        <w:rPr>
          <w:rFonts w:hint="eastAsia" w:ascii="宋体" w:hAnsi="宋体" w:eastAsia="宋体" w:cs="Times New Roman"/>
          <w:b/>
          <w:sz w:val="24"/>
          <w:szCs w:val="24"/>
          <w:highlight w:val="none"/>
        </w:rPr>
        <w:instrText xml:space="preserve">= 1 \* GB3</w:instrText>
      </w:r>
      <w:r>
        <w:rPr>
          <w:rFonts w:ascii="宋体" w:hAnsi="宋体" w:eastAsia="宋体" w:cs="Times New Roman"/>
          <w:b/>
          <w:sz w:val="24"/>
          <w:szCs w:val="24"/>
          <w:highlight w:val="none"/>
        </w:rPr>
        <w:instrText xml:space="preserve"> </w:instrText>
      </w:r>
      <w:r>
        <w:rPr>
          <w:rFonts w:ascii="宋体" w:hAnsi="宋体" w:eastAsia="宋体" w:cs="Times New Roman"/>
          <w:b/>
          <w:bCs/>
          <w:sz w:val="24"/>
          <w:szCs w:val="24"/>
          <w:highlight w:val="none"/>
        </w:rPr>
        <w:fldChar w:fldCharType="separate"/>
      </w:r>
      <w:r>
        <w:rPr>
          <w:rFonts w:hint="eastAsia" w:ascii="宋体" w:hAnsi="宋体" w:eastAsia="宋体" w:cs="Times New Roman"/>
          <w:b/>
          <w:sz w:val="24"/>
          <w:szCs w:val="24"/>
          <w:highlight w:val="none"/>
        </w:rPr>
        <w:t>①</w:t>
      </w:r>
      <w:r>
        <w:rPr>
          <w:rFonts w:ascii="宋体" w:hAnsi="宋体" w:eastAsia="宋体" w:cs="Times New Roman"/>
          <w:b/>
          <w:bCs/>
          <w:sz w:val="24"/>
          <w:szCs w:val="24"/>
          <w:highlight w:val="none"/>
        </w:rPr>
        <w:fldChar w:fldCharType="end"/>
      </w:r>
      <w:r>
        <w:rPr>
          <w:rFonts w:hint="eastAsia" w:ascii="Arial" w:hAnsi="Arial" w:eastAsia="宋体" w:cs="Times New Roman"/>
          <w:b/>
          <w:sz w:val="24"/>
          <w:szCs w:val="24"/>
          <w:highlight w:val="none"/>
        </w:rPr>
        <w:t>中小企业声明函（货物）</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本</w:t>
      </w:r>
      <w:r>
        <w:rPr>
          <w:rFonts w:hint="eastAsia" w:ascii="Arial" w:hAnsi="Arial" w:eastAsia="宋体" w:cs="Times New Roman"/>
          <w:szCs w:val="21"/>
          <w:highlight w:val="none"/>
        </w:rPr>
        <w:t>投标人</w:t>
      </w:r>
      <w:r>
        <w:rPr>
          <w:rFonts w:ascii="Arial" w:hAnsi="Arial" w:eastAsia="宋体" w:cs="Times New Roman"/>
          <w:szCs w:val="21"/>
          <w:highlight w:val="none"/>
        </w:rPr>
        <w:t>郑重声明，根据《政府采购促进中小企业发展管理办法》（财库</w:t>
      </w:r>
      <w:r>
        <w:rPr>
          <w:rFonts w:hint="eastAsia" w:ascii="Arial" w:hAnsi="Arial" w:eastAsia="宋体" w:cs="Times New Roman"/>
          <w:szCs w:val="21"/>
          <w:highlight w:val="none"/>
        </w:rPr>
        <w:t>﹝</w:t>
      </w:r>
      <w:r>
        <w:rPr>
          <w:rFonts w:ascii="Arial" w:hAnsi="Arial" w:eastAsia="宋体" w:cs="Times New Roman"/>
          <w:szCs w:val="21"/>
          <w:highlight w:val="none"/>
        </w:rPr>
        <w:t>2020</w:t>
      </w:r>
      <w:r>
        <w:rPr>
          <w:rFonts w:hint="eastAsia" w:ascii="Arial" w:hAnsi="Arial" w:eastAsia="宋体" w:cs="Times New Roman"/>
          <w:szCs w:val="21"/>
          <w:highlight w:val="none"/>
        </w:rPr>
        <w:t>﹞</w:t>
      </w:r>
      <w:r>
        <w:rPr>
          <w:rFonts w:ascii="Arial" w:hAnsi="Arial" w:eastAsia="宋体" w:cs="Times New Roman"/>
          <w:szCs w:val="21"/>
          <w:highlight w:val="none"/>
        </w:rPr>
        <w:t>46 号）的规定，本</w:t>
      </w:r>
      <w:r>
        <w:rPr>
          <w:rFonts w:hint="eastAsia" w:ascii="Arial" w:hAnsi="Arial" w:eastAsia="宋体" w:cs="Times New Roman"/>
          <w:szCs w:val="21"/>
          <w:highlight w:val="none"/>
        </w:rPr>
        <w:t>投标人</w:t>
      </w:r>
      <w:r>
        <w:rPr>
          <w:rFonts w:ascii="Arial" w:hAnsi="Arial" w:eastAsia="宋体" w:cs="Times New Roman"/>
          <w:szCs w:val="21"/>
          <w:highlight w:val="none"/>
        </w:rPr>
        <w:t>参加</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采购人</w:t>
      </w:r>
      <w:r>
        <w:rPr>
          <w:rFonts w:ascii="Arial" w:hAnsi="Arial" w:eastAsia="宋体" w:cs="Times New Roman"/>
          <w:b/>
          <w:bCs/>
          <w:szCs w:val="21"/>
          <w:highlight w:val="none"/>
          <w:u w:val="single"/>
        </w:rPr>
        <w:t>名称）</w:t>
      </w:r>
      <w:r>
        <w:rPr>
          <w:rFonts w:ascii="Arial" w:hAnsi="Arial" w:eastAsia="宋体" w:cs="Times New Roman"/>
          <w:szCs w:val="21"/>
          <w:highlight w:val="none"/>
        </w:rPr>
        <w:t>的</w:t>
      </w:r>
      <w:r>
        <w:rPr>
          <w:rFonts w:ascii="Arial" w:hAnsi="Arial" w:eastAsia="宋体" w:cs="Times New Roman"/>
          <w:b/>
          <w:bCs/>
          <w:szCs w:val="21"/>
          <w:highlight w:val="none"/>
          <w:u w:val="single"/>
        </w:rPr>
        <w:t>（项目名称）</w:t>
      </w:r>
      <w:r>
        <w:rPr>
          <w:rFonts w:ascii="Arial" w:hAnsi="Arial" w:eastAsia="宋体" w:cs="Times New Roman"/>
          <w:szCs w:val="21"/>
          <w:highlight w:val="none"/>
        </w:rPr>
        <w:t>采购活动，提供的货物全部由符合政策要求的中小企业制造。相关企业的具体情况如下：</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1.</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，属于</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招标</w:t>
      </w:r>
      <w:r>
        <w:rPr>
          <w:rFonts w:ascii="Arial" w:hAnsi="Arial" w:eastAsia="宋体" w:cs="Times New Roman"/>
          <w:b/>
          <w:bCs/>
          <w:szCs w:val="21"/>
          <w:highlight w:val="none"/>
          <w:u w:val="single"/>
        </w:rPr>
        <w:t xml:space="preserve">文件中明确的所属行业） </w:t>
      </w:r>
      <w:r>
        <w:rPr>
          <w:rFonts w:ascii="Arial" w:hAnsi="Arial" w:eastAsia="宋体" w:cs="Times New Roman"/>
          <w:szCs w:val="21"/>
          <w:highlight w:val="none"/>
        </w:rPr>
        <w:t>行业；制造商为</w:t>
      </w:r>
      <w:r>
        <w:rPr>
          <w:rFonts w:ascii="Arial" w:hAnsi="Arial" w:eastAsia="宋体" w:cs="Times New Roman"/>
          <w:b/>
          <w:bCs/>
          <w:szCs w:val="21"/>
          <w:highlight w:val="none"/>
          <w:u w:val="single"/>
        </w:rPr>
        <w:t>（企业名称</w:t>
      </w:r>
      <w:r>
        <w:rPr>
          <w:rFonts w:hint="eastAsia" w:ascii="Arial" w:hAnsi="Arial" w:eastAsia="宋体" w:cs="Times New Roman"/>
          <w:b/>
          <w:bCs/>
          <w:szCs w:val="21"/>
          <w:highlight w:val="none"/>
          <w:u w:val="single"/>
        </w:rPr>
        <w:t>，要求制造商本身所属行业应当与招标文件要求的行业相一致</w:t>
      </w:r>
      <w:r>
        <w:rPr>
          <w:rFonts w:ascii="Arial" w:hAnsi="Arial" w:eastAsia="宋体" w:cs="Times New Roman"/>
          <w:b/>
          <w:bCs/>
          <w:szCs w:val="21"/>
          <w:highlight w:val="none"/>
          <w:u w:val="single"/>
        </w:rPr>
        <w:t>）</w:t>
      </w:r>
      <w:r>
        <w:rPr>
          <w:rFonts w:ascii="Arial" w:hAnsi="Arial" w:eastAsia="宋体" w:cs="Times New Roman"/>
          <w:szCs w:val="21"/>
          <w:highlight w:val="none"/>
        </w:rPr>
        <w:t>，从业人员</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人，营业收入为</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万元，资产总额为</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 ，属于</w:t>
      </w:r>
      <w:r>
        <w:rPr>
          <w:rFonts w:ascii="Arial" w:hAnsi="Arial" w:eastAsia="宋体" w:cs="Times New Roman"/>
          <w:b/>
          <w:bCs/>
          <w:szCs w:val="21"/>
          <w:highlight w:val="none"/>
          <w:u w:val="single"/>
        </w:rPr>
        <w:t>（中型企业、小型企业、微型企业）</w:t>
      </w: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u w:val="single"/>
        </w:rPr>
      </w:pPr>
      <w:r>
        <w:rPr>
          <w:rFonts w:ascii="Arial" w:hAnsi="Arial" w:eastAsia="宋体" w:cs="Times New Roman"/>
          <w:szCs w:val="21"/>
          <w:highlight w:val="none"/>
        </w:rPr>
        <w:t>2.</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，属于</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招标</w:t>
      </w:r>
      <w:r>
        <w:rPr>
          <w:rFonts w:ascii="Arial" w:hAnsi="Arial" w:eastAsia="宋体" w:cs="Times New Roman"/>
          <w:b/>
          <w:bCs/>
          <w:szCs w:val="21"/>
          <w:highlight w:val="none"/>
          <w:u w:val="single"/>
        </w:rPr>
        <w:t xml:space="preserve">文件中明确的所属行业） </w:t>
      </w:r>
      <w:r>
        <w:rPr>
          <w:rFonts w:ascii="Arial" w:hAnsi="Arial" w:eastAsia="宋体" w:cs="Times New Roman"/>
          <w:szCs w:val="21"/>
          <w:highlight w:val="none"/>
        </w:rPr>
        <w:t>行业；制造商为</w:t>
      </w:r>
      <w:r>
        <w:rPr>
          <w:rFonts w:ascii="Arial" w:hAnsi="Arial" w:eastAsia="宋体" w:cs="Times New Roman"/>
          <w:b/>
          <w:bCs/>
          <w:szCs w:val="21"/>
          <w:highlight w:val="none"/>
          <w:u w:val="single"/>
        </w:rPr>
        <w:t>（企业名称</w:t>
      </w:r>
      <w:r>
        <w:rPr>
          <w:rFonts w:hint="eastAsia" w:ascii="Arial" w:hAnsi="Arial" w:eastAsia="宋体" w:cs="Times New Roman"/>
          <w:b/>
          <w:bCs/>
          <w:szCs w:val="21"/>
          <w:highlight w:val="none"/>
          <w:u w:val="single"/>
        </w:rPr>
        <w:t>，要求制造商本身所属行业应当与招标文件要求的行业相一致</w:t>
      </w:r>
      <w:r>
        <w:rPr>
          <w:rFonts w:ascii="Arial" w:hAnsi="Arial" w:eastAsia="宋体" w:cs="Times New Roman"/>
          <w:b/>
          <w:bCs/>
          <w:szCs w:val="21"/>
          <w:highlight w:val="none"/>
          <w:u w:val="single"/>
        </w:rPr>
        <w:t>）</w:t>
      </w:r>
      <w:r>
        <w:rPr>
          <w:rFonts w:ascii="Arial" w:hAnsi="Arial" w:eastAsia="宋体" w:cs="Times New Roman"/>
          <w:szCs w:val="21"/>
          <w:highlight w:val="none"/>
        </w:rPr>
        <w:t>，从业人员</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人，营业收入为</w:t>
      </w:r>
      <w:r>
        <w:rPr>
          <w:rFonts w:ascii="Arial" w:hAnsi="Arial" w:eastAsia="宋体" w:cs="Times New Roman"/>
          <w:b/>
          <w:bCs/>
          <w:szCs w:val="21"/>
          <w:highlight w:val="none"/>
          <w:u w:val="single"/>
        </w:rPr>
        <w:t xml:space="preserve"> </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万元，资产总额为</w:t>
      </w:r>
      <w:r>
        <w:rPr>
          <w:rFonts w:hint="eastAsia" w:ascii="Arial" w:hAnsi="Arial" w:eastAsia="宋体" w:cs="Times New Roman"/>
          <w:b/>
          <w:bCs/>
          <w:szCs w:val="21"/>
          <w:highlight w:val="none"/>
          <w:u w:val="single"/>
        </w:rPr>
        <w:t xml:space="preserve">  </w:t>
      </w:r>
      <w:r>
        <w:rPr>
          <w:rFonts w:ascii="Arial" w:hAnsi="Arial" w:eastAsia="宋体" w:cs="Times New Roman"/>
          <w:b/>
          <w:bCs/>
          <w:szCs w:val="21"/>
          <w:highlight w:val="none"/>
          <w:u w:val="single"/>
        </w:rPr>
        <w:t xml:space="preserve"> </w:t>
      </w:r>
      <w:r>
        <w:rPr>
          <w:rFonts w:ascii="Arial" w:hAnsi="Arial" w:eastAsia="宋体" w:cs="Times New Roman"/>
          <w:szCs w:val="21"/>
          <w:highlight w:val="none"/>
        </w:rPr>
        <w:t>万元 ，属于</w:t>
      </w:r>
      <w:r>
        <w:rPr>
          <w:rFonts w:ascii="Arial" w:hAnsi="Arial" w:eastAsia="宋体" w:cs="Times New Roman"/>
          <w:b/>
          <w:bCs/>
          <w:szCs w:val="21"/>
          <w:highlight w:val="none"/>
          <w:u w:val="single"/>
        </w:rPr>
        <w:t>（中型企业、小型企业、微型企业）</w:t>
      </w:r>
      <w:r>
        <w:rPr>
          <w:rFonts w:hint="eastAsia"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以上企业，不属于大企业的分支机构，不存在控股股东为大企业的情形，也不存在与大企业的负责人为同一人的情形。</w:t>
      </w:r>
    </w:p>
    <w:p>
      <w:pPr>
        <w:spacing w:afterLines="25" w:line="300" w:lineRule="auto"/>
        <w:ind w:firstLine="420" w:firstLineChars="200"/>
        <w:rPr>
          <w:rFonts w:hint="eastAsia" w:ascii="Arial" w:hAnsi="Arial" w:eastAsia="宋体" w:cs="Times New Roman"/>
          <w:szCs w:val="21"/>
          <w:highlight w:val="none"/>
        </w:rPr>
      </w:pPr>
      <w:r>
        <w:rPr>
          <w:rFonts w:hint="eastAsia" w:ascii="Arial" w:hAnsi="Arial" w:eastAsia="宋体" w:cs="Times New Roman"/>
          <w:szCs w:val="21"/>
          <w:highlight w:val="none"/>
        </w:rPr>
        <w:t>本投标人对上述声明内容的真实性负责。如有虚假，将依法承担相应责任。</w:t>
      </w:r>
    </w:p>
    <w:p>
      <w:pPr>
        <w:spacing w:afterLines="25" w:line="300" w:lineRule="auto"/>
        <w:ind w:firstLine="420" w:firstLineChars="200"/>
        <w:rPr>
          <w:rFonts w:ascii="Arial" w:hAnsi="Arial" w:eastAsia="宋体" w:cs="Times New Roman"/>
          <w:szCs w:val="21"/>
          <w:highlight w:val="none"/>
        </w:rPr>
      </w:pPr>
      <w:r>
        <w:rPr>
          <w:rFonts w:hint="eastAsia" w:ascii="Arial" w:hAnsi="Arial" w:eastAsia="宋体" w:cs="Times New Roman"/>
          <w:szCs w:val="21"/>
          <w:highlight w:val="none"/>
        </w:rPr>
        <w:t>本</w:t>
      </w:r>
      <w:r>
        <w:rPr>
          <w:rFonts w:ascii="Arial" w:hAnsi="Arial" w:eastAsia="宋体" w:cs="Times New Roman"/>
          <w:szCs w:val="21"/>
          <w:highlight w:val="none"/>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cs="Times New Roman"/>
          <w:szCs w:val="21"/>
          <w:highlight w:val="none"/>
        </w:rPr>
        <w:t>投标人</w:t>
      </w:r>
      <w:r>
        <w:rPr>
          <w:rFonts w:ascii="Arial" w:hAnsi="Arial" w:eastAsia="宋体" w:cs="Times New Roman"/>
          <w:szCs w:val="21"/>
          <w:highlight w:val="none"/>
        </w:rPr>
        <w:t>按照本办法规定提供声明函内容不实的，属于提供虚假材料谋取中标，依照《政府采购法》等政府采购有关法律法规规定追究相应责任</w:t>
      </w:r>
      <w:r>
        <w:rPr>
          <w:rFonts w:hint="eastAsia" w:ascii="Arial" w:hAnsi="Arial" w:eastAsia="宋体" w:cs="Times New Roman"/>
          <w:szCs w:val="21"/>
          <w:highlight w:val="none"/>
        </w:rPr>
        <w:t>。</w:t>
      </w:r>
    </w:p>
    <w:p>
      <w:pPr>
        <w:spacing w:afterLines="25" w:line="300" w:lineRule="auto"/>
        <w:ind w:firstLine="630" w:firstLineChars="300"/>
        <w:rPr>
          <w:rFonts w:ascii="Arial" w:hAnsi="Arial" w:eastAsia="宋体" w:cs="Times New Roman"/>
          <w:szCs w:val="21"/>
          <w:highlight w:val="none"/>
        </w:rPr>
      </w:pPr>
    </w:p>
    <w:p>
      <w:pPr>
        <w:spacing w:afterLines="25" w:line="300" w:lineRule="auto"/>
        <w:ind w:right="420" w:firstLine="4200" w:firstLineChars="2000"/>
        <w:rPr>
          <w:rFonts w:ascii="Arial" w:hAnsi="Arial" w:eastAsia="宋体" w:cs="Times New Roman"/>
          <w:szCs w:val="21"/>
          <w:highlight w:val="none"/>
        </w:rPr>
      </w:pPr>
      <w:r>
        <w:rPr>
          <w:rFonts w:hint="eastAsia" w:ascii="Arial" w:hAnsi="Arial" w:eastAsia="宋体" w:cs="Times New Roman"/>
          <w:szCs w:val="21"/>
          <w:highlight w:val="none"/>
        </w:rPr>
        <w:t>投标人（投标单位）：</w:t>
      </w:r>
    </w:p>
    <w:p>
      <w:pPr>
        <w:spacing w:afterLines="25" w:line="300" w:lineRule="auto"/>
        <w:ind w:right="420" w:firstLine="5565" w:firstLineChars="2650"/>
        <w:rPr>
          <w:rFonts w:ascii="Arial" w:hAnsi="Arial" w:eastAsia="宋体" w:cs="Times New Roman"/>
          <w:szCs w:val="21"/>
          <w:highlight w:val="none"/>
        </w:rPr>
      </w:pPr>
      <w:r>
        <w:rPr>
          <w:rFonts w:hint="eastAsia" w:ascii="Arial" w:hAnsi="Arial" w:eastAsia="宋体" w:cs="Times New Roman"/>
          <w:szCs w:val="21"/>
          <w:highlight w:val="none"/>
        </w:rPr>
        <w:t>日期：</w:t>
      </w:r>
    </w:p>
    <w:p>
      <w:pPr>
        <w:spacing w:afterLines="25" w:line="300" w:lineRule="auto"/>
        <w:ind w:firstLine="482" w:firstLineChars="200"/>
        <w:jc w:val="left"/>
        <w:rPr>
          <w:rFonts w:ascii="宋体" w:hAnsi="宋体" w:eastAsia="宋体" w:cs="Times New Roman"/>
          <w:sz w:val="24"/>
          <w:szCs w:val="24"/>
          <w:highlight w:val="none"/>
        </w:rPr>
      </w:pPr>
      <w:r>
        <w:rPr>
          <w:rFonts w:hint="eastAsia" w:ascii="宋体" w:hAnsi="宋体" w:eastAsia="宋体" w:cs="Times New Roman"/>
          <w:b/>
          <w:sz w:val="24"/>
          <w:szCs w:val="24"/>
          <w:highlight w:val="none"/>
        </w:rPr>
        <w:t>说明：</w:t>
      </w:r>
      <w:r>
        <w:rPr>
          <w:rFonts w:hint="eastAsia" w:ascii="宋体" w:hAnsi="宋体" w:eastAsia="宋体" w:cs="Times New Roman"/>
          <w:sz w:val="24"/>
          <w:szCs w:val="24"/>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widowControl/>
        <w:jc w:val="left"/>
        <w:rPr>
          <w:rFonts w:hint="eastAsia" w:ascii="宋体" w:hAnsi="宋体" w:eastAsia="宋体" w:cs="Times New Roman"/>
          <w:b/>
          <w:sz w:val="24"/>
          <w:szCs w:val="24"/>
          <w:highlight w:val="none"/>
        </w:rPr>
      </w:pPr>
    </w:p>
    <w:p>
      <w:pPr>
        <w:pStyle w:val="9"/>
        <w:rPr>
          <w:rFonts w:hint="eastAsia"/>
          <w:highlight w:val="none"/>
        </w:rPr>
      </w:pPr>
    </w:p>
    <w:p>
      <w:pPr>
        <w:widowControl/>
        <w:jc w:val="center"/>
        <w:rPr>
          <w:rFonts w:ascii="Arial" w:hAnsi="Arial" w:eastAsia="宋体" w:cs="Times New Roman"/>
          <w:b/>
          <w:sz w:val="24"/>
          <w:szCs w:val="24"/>
          <w:highlight w:val="none"/>
        </w:rPr>
      </w:pPr>
      <w:r>
        <w:rPr>
          <w:rFonts w:hint="eastAsia" w:ascii="宋体" w:hAnsi="宋体" w:eastAsia="宋体" w:cs="Times New Roman"/>
          <w:b/>
          <w:sz w:val="24"/>
          <w:szCs w:val="24"/>
          <w:highlight w:val="none"/>
        </w:rPr>
        <w:t>②</w:t>
      </w:r>
      <w:r>
        <w:rPr>
          <w:rFonts w:hint="eastAsia" w:ascii="Arial" w:hAnsi="Arial" w:eastAsia="宋体" w:cs="Times New Roman"/>
          <w:b/>
          <w:sz w:val="24"/>
          <w:szCs w:val="24"/>
          <w:highlight w:val="none"/>
        </w:rPr>
        <w:t>残疾人福利性单位声明函（货物）</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本</w:t>
      </w:r>
      <w:r>
        <w:rPr>
          <w:rFonts w:hint="eastAsia" w:cs="Times New Roman" w:asciiTheme="minorEastAsia" w:hAnsiTheme="minorEastAsia"/>
          <w:szCs w:val="21"/>
          <w:highlight w:val="none"/>
        </w:rPr>
        <w:t>投标人郑重声明，根据《财政部民政部中国残疾人联合会关于促进残疾人就业政府采购政策的通知》（财库〔</w:t>
      </w:r>
      <w:r>
        <w:rPr>
          <w:rFonts w:cs="Times New Roman" w:asciiTheme="minorEastAsia" w:hAnsiTheme="minorEastAsia"/>
          <w:szCs w:val="21"/>
          <w:highlight w:val="none"/>
        </w:rPr>
        <w:t>2017</w:t>
      </w:r>
      <w:r>
        <w:rPr>
          <w:rFonts w:hint="eastAsia" w:cs="Times New Roman" w:asciiTheme="minorEastAsia" w:hAnsiTheme="minorEastAsia"/>
          <w:szCs w:val="21"/>
          <w:highlight w:val="none"/>
        </w:rPr>
        <w:t>〕</w:t>
      </w:r>
      <w:r>
        <w:rPr>
          <w:rFonts w:cs="Times New Roman" w:asciiTheme="minorEastAsia" w:hAnsiTheme="minorEastAsia"/>
          <w:szCs w:val="21"/>
          <w:highlight w:val="none"/>
        </w:rPr>
        <w:t xml:space="preserve">141 </w:t>
      </w:r>
      <w:r>
        <w:rPr>
          <w:rFonts w:hint="eastAsia" w:cs="Times New Roman" w:asciiTheme="minorEastAsia" w:hAnsiTheme="minorEastAsia"/>
          <w:szCs w:val="21"/>
          <w:highlight w:val="none"/>
        </w:rPr>
        <w:t>号）的规定，本投标人</w:t>
      </w:r>
      <w:r>
        <w:rPr>
          <w:rFonts w:cs="Times New Roman" w:asciiTheme="minorEastAsia" w:hAnsiTheme="minorEastAsia"/>
          <w:szCs w:val="21"/>
          <w:highlight w:val="none"/>
        </w:rPr>
        <w:t>参加</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采购人</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的</w:t>
      </w:r>
      <w:r>
        <w:rPr>
          <w:rFonts w:cs="Times New Roman" w:asciiTheme="minorEastAsia" w:hAnsiTheme="minorEastAsia"/>
          <w:b/>
          <w:bCs/>
          <w:szCs w:val="21"/>
          <w:highlight w:val="none"/>
          <w:u w:val="single"/>
        </w:rPr>
        <w:t>（项目名称）</w:t>
      </w:r>
      <w:r>
        <w:rPr>
          <w:rFonts w:cs="Times New Roman" w:asciiTheme="minorEastAsia" w:hAnsiTheme="minorEastAsia"/>
          <w:szCs w:val="21"/>
          <w:highlight w:val="none"/>
        </w:rPr>
        <w:t>采购活动，提供的货物全部由符合政策要求的</w:t>
      </w:r>
      <w:r>
        <w:rPr>
          <w:rFonts w:hint="eastAsia" w:cs="Times New Roman" w:asciiTheme="minorEastAsia" w:hAnsiTheme="minorEastAsia"/>
          <w:szCs w:val="21"/>
          <w:highlight w:val="none"/>
        </w:rPr>
        <w:t>残疾人福利性单位</w:t>
      </w:r>
      <w:r>
        <w:rPr>
          <w:rFonts w:cs="Times New Roman" w:asciiTheme="minorEastAsia" w:hAnsiTheme="minorEastAsia"/>
          <w:szCs w:val="21"/>
          <w:highlight w:val="none"/>
        </w:rPr>
        <w:t>制造。相关</w:t>
      </w:r>
      <w:r>
        <w:rPr>
          <w:rFonts w:hint="eastAsia" w:cs="Times New Roman" w:asciiTheme="minorEastAsia" w:hAnsiTheme="minorEastAsia"/>
          <w:szCs w:val="21"/>
          <w:highlight w:val="none"/>
        </w:rPr>
        <w:t>残疾人福利性单位</w:t>
      </w:r>
      <w:r>
        <w:rPr>
          <w:rFonts w:cs="Times New Roman" w:asciiTheme="minorEastAsia" w:hAnsiTheme="minorEastAsia"/>
          <w:szCs w:val="21"/>
          <w:highlight w:val="none"/>
        </w:rPr>
        <w:t>的具体情况如下：</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1.</w:t>
      </w:r>
      <w:r>
        <w:rPr>
          <w:rFonts w:cs="Times New Roman" w:asciiTheme="minorEastAsia" w:hAnsiTheme="minorEastAsia"/>
          <w:b/>
          <w:bCs/>
          <w:szCs w:val="21"/>
          <w:highlight w:val="none"/>
          <w:u w:val="single"/>
        </w:rPr>
        <w:t xml:space="preserve"> （标的名称）</w:t>
      </w:r>
      <w:r>
        <w:rPr>
          <w:rFonts w:cs="Times New Roman" w:asciiTheme="minorEastAsia" w:hAnsiTheme="minorEastAsia"/>
          <w:szCs w:val="21"/>
          <w:highlight w:val="none"/>
        </w:rPr>
        <w:t xml:space="preserve"> </w:t>
      </w:r>
      <w:r>
        <w:rPr>
          <w:rFonts w:hint="eastAsia" w:cs="Times New Roman" w:asciiTheme="minorEastAsia" w:hAnsiTheme="minorEastAsia"/>
          <w:szCs w:val="21"/>
          <w:highlight w:val="none"/>
        </w:rPr>
        <w:t>，</w:t>
      </w:r>
      <w:r>
        <w:rPr>
          <w:rFonts w:cs="Times New Roman" w:asciiTheme="minorEastAsia" w:hAnsiTheme="minorEastAsia"/>
          <w:szCs w:val="21"/>
          <w:highlight w:val="none"/>
        </w:rPr>
        <w:t>制造商为</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单位</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，属于</w:t>
      </w:r>
      <w:r>
        <w:rPr>
          <w:rFonts w:hint="eastAsia" w:cs="Times New Roman" w:asciiTheme="minorEastAsia" w:hAnsiTheme="minorEastAsia"/>
          <w:b/>
          <w:bCs/>
          <w:szCs w:val="21"/>
          <w:highlight w:val="none"/>
          <w:u w:val="single"/>
        </w:rPr>
        <w:t>残疾人福利性单位</w:t>
      </w:r>
      <w:r>
        <w:rPr>
          <w:rFonts w:cs="Times New Roman" w:asciiTheme="minorEastAsia" w:hAnsiTheme="minorEastAsia"/>
          <w:szCs w:val="21"/>
          <w:highlight w:val="none"/>
        </w:rPr>
        <w:t>；</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2.</w:t>
      </w:r>
      <w:r>
        <w:rPr>
          <w:rFonts w:cs="Times New Roman" w:asciiTheme="minorEastAsia" w:hAnsiTheme="minorEastAsia"/>
          <w:b/>
          <w:bCs/>
          <w:szCs w:val="21"/>
          <w:highlight w:val="none"/>
          <w:u w:val="single"/>
        </w:rPr>
        <w:t xml:space="preserve"> （标的名称）</w:t>
      </w:r>
      <w:r>
        <w:rPr>
          <w:rFonts w:cs="Times New Roman" w:asciiTheme="minorEastAsia" w:hAnsiTheme="minorEastAsia"/>
          <w:szCs w:val="21"/>
          <w:highlight w:val="none"/>
        </w:rPr>
        <w:t xml:space="preserve"> </w:t>
      </w:r>
      <w:r>
        <w:rPr>
          <w:rFonts w:hint="eastAsia" w:cs="Times New Roman" w:asciiTheme="minorEastAsia" w:hAnsiTheme="minorEastAsia"/>
          <w:szCs w:val="21"/>
          <w:highlight w:val="none"/>
        </w:rPr>
        <w:t>，</w:t>
      </w:r>
      <w:r>
        <w:rPr>
          <w:rFonts w:cs="Times New Roman" w:asciiTheme="minorEastAsia" w:hAnsiTheme="minorEastAsia"/>
          <w:szCs w:val="21"/>
          <w:highlight w:val="none"/>
        </w:rPr>
        <w:t>制造商为</w:t>
      </w:r>
      <w:r>
        <w:rPr>
          <w:rFonts w:cs="Times New Roman" w:asciiTheme="minorEastAsia" w:hAnsiTheme="minorEastAsia"/>
          <w:b/>
          <w:bCs/>
          <w:szCs w:val="21"/>
          <w:highlight w:val="none"/>
          <w:u w:val="single"/>
        </w:rPr>
        <w:t>（</w:t>
      </w:r>
      <w:r>
        <w:rPr>
          <w:rFonts w:hint="eastAsia" w:cs="Times New Roman" w:asciiTheme="minorEastAsia" w:hAnsiTheme="minorEastAsia"/>
          <w:b/>
          <w:bCs/>
          <w:szCs w:val="21"/>
          <w:highlight w:val="none"/>
          <w:u w:val="single"/>
        </w:rPr>
        <w:t>单位</w:t>
      </w:r>
      <w:r>
        <w:rPr>
          <w:rFonts w:cs="Times New Roman" w:asciiTheme="minorEastAsia" w:hAnsiTheme="minorEastAsia"/>
          <w:b/>
          <w:bCs/>
          <w:szCs w:val="21"/>
          <w:highlight w:val="none"/>
          <w:u w:val="single"/>
        </w:rPr>
        <w:t>名称）</w:t>
      </w:r>
      <w:r>
        <w:rPr>
          <w:rFonts w:cs="Times New Roman" w:asciiTheme="minorEastAsia" w:hAnsiTheme="minorEastAsia"/>
          <w:szCs w:val="21"/>
          <w:highlight w:val="none"/>
        </w:rPr>
        <w:t>，属于</w:t>
      </w:r>
      <w:r>
        <w:rPr>
          <w:rFonts w:hint="eastAsia" w:cs="Times New Roman" w:asciiTheme="minorEastAsia" w:hAnsiTheme="minorEastAsia"/>
          <w:b/>
          <w:bCs/>
          <w:szCs w:val="21"/>
          <w:highlight w:val="none"/>
          <w:u w:val="single"/>
        </w:rPr>
        <w:t>残疾人福利性单位</w:t>
      </w:r>
      <w:r>
        <w:rPr>
          <w:rFonts w:hint="eastAsia" w:cs="Times New Roman" w:asciiTheme="minorEastAsia" w:hAnsiTheme="minorEastAsia"/>
          <w:szCs w:val="21"/>
          <w:highlight w:val="none"/>
        </w:rPr>
        <w:t>。</w:t>
      </w:r>
    </w:p>
    <w:p>
      <w:pPr>
        <w:spacing w:afterLines="25" w:line="300" w:lineRule="auto"/>
        <w:ind w:firstLine="420" w:firstLineChars="200"/>
        <w:rPr>
          <w:rFonts w:cs="Times New Roman" w:asciiTheme="minorEastAsia" w:hAnsiTheme="minorEastAsia"/>
          <w:szCs w:val="21"/>
          <w:highlight w:val="none"/>
        </w:rPr>
      </w:pPr>
      <w:r>
        <w:rPr>
          <w:rFonts w:cs="Times New Roman" w:asciiTheme="minorEastAsia" w:hAnsiTheme="minorEastAsia"/>
          <w:szCs w:val="21"/>
          <w:highlight w:val="none"/>
        </w:rPr>
        <w:t xml:space="preserve">…… </w:t>
      </w:r>
    </w:p>
    <w:p>
      <w:pPr>
        <w:spacing w:afterLines="25" w:line="300" w:lineRule="auto"/>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本</w:t>
      </w:r>
      <w:r>
        <w:rPr>
          <w:rFonts w:cs="Times New Roman" w:asciiTheme="minorEastAsia" w:hAnsiTheme="minorEastAsia"/>
          <w:szCs w:val="21"/>
          <w:highlight w:val="none"/>
        </w:rPr>
        <w:t>投标人</w:t>
      </w:r>
      <w:r>
        <w:rPr>
          <w:rFonts w:hint="eastAsia" w:cs="Times New Roman" w:asciiTheme="minorEastAsia" w:hAnsiTheme="minorEastAsia"/>
          <w:szCs w:val="21"/>
          <w:highlight w:val="none"/>
        </w:rPr>
        <w:t>对上述声明的真实性负责。如有虚假，将依法承担相应责任。</w:t>
      </w:r>
    </w:p>
    <w:p>
      <w:pPr>
        <w:spacing w:afterLines="25" w:line="300" w:lineRule="auto"/>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本</w:t>
      </w:r>
      <w:r>
        <w:rPr>
          <w:rFonts w:cs="Times New Roman" w:asciiTheme="minorEastAsia" w:hAnsiTheme="minorEastAsia"/>
          <w:szCs w:val="21"/>
          <w:highlight w:val="none"/>
        </w:rPr>
        <w:t>投标人</w:t>
      </w:r>
      <w:r>
        <w:rPr>
          <w:rFonts w:hint="eastAsia" w:cs="Times New Roman" w:asciiTheme="minorEastAsia" w:hAnsiTheme="minorEastAsia"/>
          <w:szCs w:val="21"/>
          <w:highlight w:val="none"/>
        </w:rPr>
        <w:t>已</w:t>
      </w:r>
      <w:r>
        <w:rPr>
          <w:rFonts w:cs="Times New Roman" w:asciiTheme="minorEastAsia" w:hAnsiTheme="minorEastAsia"/>
          <w:szCs w:val="21"/>
          <w:highlight w:val="none"/>
        </w:rPr>
        <w:t>知悉</w:t>
      </w:r>
      <w:r>
        <w:rPr>
          <w:rFonts w:hint="eastAsia" w:cs="Times New Roman" w:asciiTheme="minorEastAsia" w:hAnsiTheme="minorEastAsia"/>
          <w:szCs w:val="21"/>
          <w:highlight w:val="none"/>
        </w:rPr>
        <w:t>《财政部民政部中国残疾人联合会关于促进残疾人就业政府采购政策的通知》（财库〔2017〕141 号）</w:t>
      </w:r>
      <w:r>
        <w:rPr>
          <w:rFonts w:cs="Times New Roman" w:asciiTheme="minorEastAsia" w:hAnsiTheme="minorEastAsia"/>
          <w:szCs w:val="21"/>
          <w:highlight w:val="none"/>
        </w:rPr>
        <w:t>的规定，承诺提供的声明函内容是真实的，如提供声明函内容不实，则依法追究相关法律责任</w:t>
      </w:r>
      <w:r>
        <w:rPr>
          <w:rFonts w:hint="eastAsia" w:cs="Times New Roman" w:asciiTheme="minorEastAsia" w:hAnsiTheme="minorEastAsia"/>
          <w:szCs w:val="21"/>
          <w:highlight w:val="none"/>
        </w:rPr>
        <w:t>。</w:t>
      </w:r>
    </w:p>
    <w:p>
      <w:pPr>
        <w:spacing w:afterLines="25" w:line="300" w:lineRule="auto"/>
        <w:jc w:val="right"/>
        <w:rPr>
          <w:rFonts w:cs="Times New Roman" w:asciiTheme="minorEastAsia" w:hAnsiTheme="minorEastAsia"/>
          <w:szCs w:val="21"/>
          <w:highlight w:val="none"/>
        </w:rPr>
      </w:pPr>
    </w:p>
    <w:p>
      <w:pPr>
        <w:spacing w:afterLines="25" w:line="300" w:lineRule="auto"/>
        <w:ind w:right="420" w:firstLine="4410" w:firstLineChars="2100"/>
        <w:rPr>
          <w:rFonts w:cs="Times New Roman" w:asciiTheme="minorEastAsia" w:hAnsiTheme="minorEastAsia"/>
          <w:szCs w:val="21"/>
          <w:highlight w:val="none"/>
        </w:rPr>
      </w:pPr>
      <w:r>
        <w:rPr>
          <w:rFonts w:hint="eastAsia" w:cs="Times New Roman" w:asciiTheme="minorEastAsia" w:hAnsiTheme="minorEastAsia"/>
          <w:szCs w:val="21"/>
          <w:highlight w:val="none"/>
        </w:rPr>
        <w:t>投标人（投标单位）：</w:t>
      </w:r>
    </w:p>
    <w:p>
      <w:pPr>
        <w:spacing w:afterLines="25" w:line="300" w:lineRule="auto"/>
        <w:ind w:right="420" w:firstLine="5775" w:firstLineChars="2750"/>
        <w:rPr>
          <w:highlight w:val="none"/>
        </w:rPr>
      </w:pPr>
      <w:r>
        <w:rPr>
          <w:rFonts w:hint="eastAsia" w:cs="Times New Roman" w:asciiTheme="minorEastAsia" w:hAnsiTheme="minorEastAsia"/>
          <w:szCs w:val="21"/>
          <w:highlight w:val="none"/>
        </w:rPr>
        <w:t>日期：</w:t>
      </w:r>
    </w:p>
    <w:p>
      <w:pPr>
        <w:spacing w:afterLines="25" w:line="300" w:lineRule="auto"/>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说明：</w:t>
      </w:r>
      <w:r>
        <w:rPr>
          <w:rFonts w:hint="eastAsia" w:ascii="宋体" w:hAnsi="宋体" w:eastAsia="宋体" w:cs="Times New Roman"/>
          <w:szCs w:val="21"/>
          <w:highlight w:val="none"/>
        </w:rPr>
        <w:t>根据财库〔2017〕141号文件的规定,享受政府采购支持政策的残疾人福利性单位应当同时满足以下条件：</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（一）</w:t>
      </w:r>
      <w:r>
        <w:rPr>
          <w:rFonts w:hint="eastAsia" w:ascii="宋体" w:hAnsi="宋体" w:eastAsia="宋体" w:cs="Times New Roman"/>
          <w:b/>
          <w:szCs w:val="21"/>
          <w:highlight w:val="none"/>
        </w:rPr>
        <w:t>安置的残疾人占本单位在职职工人数的比例不低于25%（含25%），并且安置的残疾人人数不少于10人（含10人）</w:t>
      </w:r>
      <w:r>
        <w:rPr>
          <w:rFonts w:hint="eastAsia" w:ascii="宋体" w:hAnsi="宋体" w:eastAsia="宋体" w:cs="Times New Roman"/>
          <w:szCs w:val="21"/>
          <w:highlight w:val="none"/>
        </w:rPr>
        <w:t>；</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（二）依法与安置的每位残疾人签订了一年以上（含一年）的劳动合同或服务协议；</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（三）为安置的每位残疾人按月足额缴纳了基本养老保险、基本医疗保险、失业保险、工伤保险和生育保险等社会保险费；</w:t>
      </w:r>
    </w:p>
    <w:p>
      <w:pPr>
        <w:spacing w:afterLines="25" w:line="30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（四）通过银行等金融机构向安置的每位残疾人，按月支付了不低于单位所在区县适用的经省级人民政府批准的月最低工资标准的工资；</w:t>
      </w:r>
    </w:p>
    <w:p>
      <w:pPr>
        <w:spacing w:afterLines="25" w:line="30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9"/>
        <w:rPr>
          <w:rFonts w:hint="eastAsia" w:ascii="宋体" w:hAnsi="宋体" w:eastAsia="宋体" w:cs="Times New Roman"/>
          <w:szCs w:val="21"/>
          <w:highlight w:val="none"/>
        </w:rPr>
      </w:pPr>
    </w:p>
    <w:p>
      <w:pPr>
        <w:pStyle w:val="10"/>
        <w:rPr>
          <w:highlight w:val="none"/>
        </w:rPr>
      </w:pPr>
    </w:p>
    <w:p>
      <w:pPr>
        <w:widowControl/>
        <w:jc w:val="center"/>
        <w:outlineLvl w:val="4"/>
        <w:rPr>
          <w:rFonts w:ascii="Arial" w:hAnsi="Arial" w:eastAsia="宋体" w:cs="Times New Roman"/>
          <w:b/>
          <w:sz w:val="24"/>
          <w:szCs w:val="24"/>
          <w:highlight w:val="none"/>
        </w:rPr>
      </w:pPr>
      <w:r>
        <w:rPr>
          <w:rFonts w:hint="eastAsia" w:ascii="宋体" w:hAnsi="宋体" w:eastAsia="宋体" w:cs="Times New Roman"/>
          <w:b/>
          <w:sz w:val="24"/>
          <w:szCs w:val="24"/>
          <w:highlight w:val="none"/>
        </w:rPr>
        <w:t>③</w:t>
      </w:r>
      <w:r>
        <w:rPr>
          <w:rFonts w:hint="eastAsia" w:ascii="Arial" w:hAnsi="Arial" w:eastAsia="宋体" w:cs="Times New Roman"/>
          <w:b/>
          <w:sz w:val="24"/>
          <w:szCs w:val="24"/>
          <w:highlight w:val="none"/>
        </w:rPr>
        <w:t>监狱企业声明函</w:t>
      </w:r>
      <w:r>
        <w:rPr>
          <w:rFonts w:hint="eastAsia"/>
          <w:b/>
          <w:sz w:val="24"/>
          <w:highlight w:val="none"/>
        </w:rPr>
        <w:t>【货物，提供监狱企业货物的供应商如需享受优惠政策，还须另行提供省级以上监狱管理局、戒毒管理局（含新疆生产建设兵团）出具的监狱企业证明文件】</w:t>
      </w:r>
    </w:p>
    <w:p>
      <w:pPr>
        <w:spacing w:afterLines="25" w:line="300" w:lineRule="auto"/>
        <w:ind w:firstLine="420" w:firstLineChars="200"/>
        <w:rPr>
          <w:rFonts w:ascii="Arial" w:hAnsi="Arial" w:eastAsia="宋体" w:cs="Times New Roman"/>
          <w:szCs w:val="21"/>
          <w:highlight w:val="none"/>
        </w:rPr>
      </w:pPr>
      <w:r>
        <w:rPr>
          <w:rFonts w:hint="eastAsia" w:ascii="Arial" w:hAnsi="Arial" w:eastAsia="宋体" w:cs="Times New Roman"/>
          <w:szCs w:val="21"/>
          <w:highlight w:val="none"/>
        </w:rPr>
        <w:t>本投标人郑重声明，根据《财政部司法部关于政府采购支持监狱企业发展有关问题的通知》（财库〔</w:t>
      </w:r>
      <w:r>
        <w:rPr>
          <w:rFonts w:ascii="Arial" w:hAnsi="Arial" w:eastAsia="宋体" w:cs="Times New Roman"/>
          <w:szCs w:val="21"/>
          <w:highlight w:val="none"/>
        </w:rPr>
        <w:t>2014</w:t>
      </w:r>
      <w:r>
        <w:rPr>
          <w:rFonts w:hint="eastAsia" w:ascii="Arial" w:hAnsi="Arial" w:eastAsia="宋体" w:cs="Times New Roman"/>
          <w:szCs w:val="21"/>
          <w:highlight w:val="none"/>
        </w:rPr>
        <w:t>〕</w:t>
      </w:r>
      <w:r>
        <w:rPr>
          <w:rFonts w:ascii="Arial" w:hAnsi="Arial" w:eastAsia="宋体" w:cs="Times New Roman"/>
          <w:szCs w:val="21"/>
          <w:highlight w:val="none"/>
        </w:rPr>
        <w:t>68</w:t>
      </w:r>
      <w:r>
        <w:rPr>
          <w:rFonts w:hint="eastAsia" w:ascii="Arial" w:hAnsi="Arial" w:eastAsia="宋体" w:cs="Times New Roman"/>
          <w:szCs w:val="21"/>
          <w:highlight w:val="none"/>
        </w:rPr>
        <w:t>号）的规定，本投标人</w:t>
      </w:r>
      <w:r>
        <w:rPr>
          <w:rFonts w:ascii="Arial" w:hAnsi="Arial" w:eastAsia="宋体" w:cs="Times New Roman"/>
          <w:szCs w:val="21"/>
          <w:highlight w:val="none"/>
        </w:rPr>
        <w:t>参加</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采购人</w:t>
      </w:r>
      <w:r>
        <w:rPr>
          <w:rFonts w:ascii="Arial" w:hAnsi="Arial" w:eastAsia="宋体" w:cs="Times New Roman"/>
          <w:b/>
          <w:bCs/>
          <w:szCs w:val="21"/>
          <w:highlight w:val="none"/>
          <w:u w:val="single"/>
        </w:rPr>
        <w:t>名称）</w:t>
      </w:r>
      <w:r>
        <w:rPr>
          <w:rFonts w:ascii="Arial" w:hAnsi="Arial" w:eastAsia="宋体" w:cs="Times New Roman"/>
          <w:szCs w:val="21"/>
          <w:highlight w:val="none"/>
        </w:rPr>
        <w:t>的</w:t>
      </w:r>
      <w:r>
        <w:rPr>
          <w:rFonts w:ascii="Arial" w:hAnsi="Arial" w:eastAsia="宋体" w:cs="Times New Roman"/>
          <w:b/>
          <w:bCs/>
          <w:szCs w:val="21"/>
          <w:highlight w:val="none"/>
          <w:u w:val="single"/>
        </w:rPr>
        <w:t>（项目名称）</w:t>
      </w:r>
      <w:r>
        <w:rPr>
          <w:rFonts w:ascii="Arial" w:hAnsi="Arial" w:eastAsia="宋体" w:cs="Times New Roman"/>
          <w:szCs w:val="21"/>
          <w:highlight w:val="none"/>
        </w:rPr>
        <w:t>采购活动，提供的货物全部由符合政策要求的</w:t>
      </w:r>
      <w:r>
        <w:rPr>
          <w:rFonts w:hint="eastAsia" w:ascii="Arial" w:hAnsi="Arial" w:eastAsia="宋体" w:cs="Times New Roman"/>
          <w:szCs w:val="21"/>
          <w:highlight w:val="none"/>
        </w:rPr>
        <w:t>监狱企业</w:t>
      </w:r>
      <w:r>
        <w:rPr>
          <w:rFonts w:ascii="Arial" w:hAnsi="Arial" w:eastAsia="宋体" w:cs="Times New Roman"/>
          <w:szCs w:val="21"/>
          <w:highlight w:val="none"/>
        </w:rPr>
        <w:t>制造。相关</w:t>
      </w:r>
      <w:r>
        <w:rPr>
          <w:rFonts w:hint="eastAsia" w:ascii="Arial" w:hAnsi="Arial" w:eastAsia="宋体" w:cs="Times New Roman"/>
          <w:szCs w:val="21"/>
          <w:highlight w:val="none"/>
        </w:rPr>
        <w:t>监狱企业</w:t>
      </w:r>
      <w:r>
        <w:rPr>
          <w:rFonts w:ascii="Arial" w:hAnsi="Arial" w:eastAsia="宋体" w:cs="Times New Roman"/>
          <w:szCs w:val="21"/>
          <w:highlight w:val="none"/>
        </w:rPr>
        <w:t>的具体情况如下：</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1.</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w:t>
      </w:r>
      <w:r>
        <w:rPr>
          <w:rFonts w:hint="eastAsia" w:ascii="Arial" w:hAnsi="Arial" w:eastAsia="宋体" w:cs="Times New Roman"/>
          <w:szCs w:val="21"/>
          <w:highlight w:val="none"/>
        </w:rPr>
        <w:t>，</w:t>
      </w:r>
      <w:r>
        <w:rPr>
          <w:rFonts w:ascii="Arial" w:hAnsi="Arial" w:eastAsia="宋体" w:cs="Times New Roman"/>
          <w:szCs w:val="21"/>
          <w:highlight w:val="none"/>
        </w:rPr>
        <w:t>制造商为</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企业</w:t>
      </w:r>
      <w:r>
        <w:rPr>
          <w:rFonts w:ascii="Arial" w:hAnsi="Arial" w:eastAsia="宋体" w:cs="Times New Roman"/>
          <w:b/>
          <w:bCs/>
          <w:szCs w:val="21"/>
          <w:highlight w:val="none"/>
          <w:u w:val="single"/>
        </w:rPr>
        <w:t>名称）</w:t>
      </w:r>
      <w:r>
        <w:rPr>
          <w:rFonts w:ascii="Arial" w:hAnsi="Arial" w:eastAsia="宋体" w:cs="Times New Roman"/>
          <w:szCs w:val="21"/>
          <w:highlight w:val="none"/>
        </w:rPr>
        <w:t>，属于</w:t>
      </w:r>
      <w:r>
        <w:rPr>
          <w:rFonts w:hint="eastAsia" w:ascii="Arial" w:hAnsi="Arial" w:eastAsia="宋体" w:cs="Times New Roman"/>
          <w:b/>
          <w:bCs/>
          <w:szCs w:val="21"/>
          <w:highlight w:val="none"/>
          <w:u w:val="single"/>
        </w:rPr>
        <w:t>监狱企业</w:t>
      </w:r>
      <w:r>
        <w:rPr>
          <w:rFonts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2.</w:t>
      </w:r>
      <w:r>
        <w:rPr>
          <w:rFonts w:ascii="Arial" w:hAnsi="Arial" w:eastAsia="宋体" w:cs="Times New Roman"/>
          <w:b/>
          <w:bCs/>
          <w:szCs w:val="21"/>
          <w:highlight w:val="none"/>
          <w:u w:val="single"/>
        </w:rPr>
        <w:t xml:space="preserve"> （标的名称）</w:t>
      </w:r>
      <w:r>
        <w:rPr>
          <w:rFonts w:ascii="Arial" w:hAnsi="Arial" w:eastAsia="宋体" w:cs="Times New Roman"/>
          <w:szCs w:val="21"/>
          <w:highlight w:val="none"/>
        </w:rPr>
        <w:t xml:space="preserve"> </w:t>
      </w:r>
      <w:r>
        <w:rPr>
          <w:rFonts w:hint="eastAsia" w:ascii="Arial" w:hAnsi="Arial" w:eastAsia="宋体" w:cs="Times New Roman"/>
          <w:szCs w:val="21"/>
          <w:highlight w:val="none"/>
        </w:rPr>
        <w:t>，</w:t>
      </w:r>
      <w:r>
        <w:rPr>
          <w:rFonts w:ascii="Arial" w:hAnsi="Arial" w:eastAsia="宋体" w:cs="Times New Roman"/>
          <w:szCs w:val="21"/>
          <w:highlight w:val="none"/>
        </w:rPr>
        <w:t>制造商为</w:t>
      </w:r>
      <w:r>
        <w:rPr>
          <w:rFonts w:ascii="Arial" w:hAnsi="Arial" w:eastAsia="宋体" w:cs="Times New Roman"/>
          <w:b/>
          <w:bCs/>
          <w:szCs w:val="21"/>
          <w:highlight w:val="none"/>
          <w:u w:val="single"/>
        </w:rPr>
        <w:t>（</w:t>
      </w:r>
      <w:r>
        <w:rPr>
          <w:rFonts w:hint="eastAsia" w:ascii="Arial" w:hAnsi="Arial" w:eastAsia="宋体" w:cs="Times New Roman"/>
          <w:b/>
          <w:bCs/>
          <w:szCs w:val="21"/>
          <w:highlight w:val="none"/>
          <w:u w:val="single"/>
        </w:rPr>
        <w:t>企业</w:t>
      </w:r>
      <w:r>
        <w:rPr>
          <w:rFonts w:ascii="Arial" w:hAnsi="Arial" w:eastAsia="宋体" w:cs="Times New Roman"/>
          <w:b/>
          <w:bCs/>
          <w:szCs w:val="21"/>
          <w:highlight w:val="none"/>
          <w:u w:val="single"/>
        </w:rPr>
        <w:t>名称）</w:t>
      </w:r>
      <w:r>
        <w:rPr>
          <w:rFonts w:ascii="Arial" w:hAnsi="Arial" w:eastAsia="宋体" w:cs="Times New Roman"/>
          <w:szCs w:val="21"/>
          <w:highlight w:val="none"/>
        </w:rPr>
        <w:t>，属于</w:t>
      </w:r>
      <w:r>
        <w:rPr>
          <w:rFonts w:hint="eastAsia" w:ascii="Arial" w:hAnsi="Arial" w:eastAsia="宋体" w:cs="Times New Roman"/>
          <w:b/>
          <w:bCs/>
          <w:szCs w:val="21"/>
          <w:highlight w:val="none"/>
          <w:u w:val="single"/>
        </w:rPr>
        <w:t>监狱企业</w:t>
      </w:r>
      <w:r>
        <w:rPr>
          <w:rFonts w:hint="eastAsia" w:ascii="Arial" w:hAnsi="Arial" w:eastAsia="宋体" w:cs="Times New Roman"/>
          <w:szCs w:val="21"/>
          <w:highlight w:val="none"/>
        </w:rPr>
        <w:t>。</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 xml:space="preserve">…… </w:t>
      </w:r>
    </w:p>
    <w:p>
      <w:pPr>
        <w:spacing w:afterLines="25" w:line="300" w:lineRule="auto"/>
        <w:ind w:firstLine="420" w:firstLineChars="200"/>
        <w:rPr>
          <w:rFonts w:ascii="Arial" w:hAnsi="Arial" w:eastAsia="宋体" w:cs="Times New Roman"/>
          <w:szCs w:val="21"/>
          <w:highlight w:val="none"/>
        </w:rPr>
      </w:pPr>
      <w:r>
        <w:rPr>
          <w:rFonts w:ascii="Arial" w:hAnsi="Arial" w:eastAsia="宋体" w:cs="Times New Roman"/>
          <w:szCs w:val="21"/>
          <w:highlight w:val="none"/>
        </w:rPr>
        <w:t>本</w:t>
      </w:r>
      <w:r>
        <w:rPr>
          <w:rFonts w:hint="eastAsia" w:ascii="Arial" w:hAnsi="Arial" w:eastAsia="宋体" w:cs="Times New Roman"/>
          <w:szCs w:val="21"/>
          <w:highlight w:val="none"/>
        </w:rPr>
        <w:t>投标人</w:t>
      </w:r>
      <w:r>
        <w:rPr>
          <w:rFonts w:ascii="Arial" w:hAnsi="Arial" w:eastAsia="宋体" w:cs="Times New Roman"/>
          <w:szCs w:val="21"/>
          <w:highlight w:val="none"/>
        </w:rPr>
        <w:t>对上述声明内容的真实性负责。如有虚假，将依法承担相应责任。</w:t>
      </w:r>
    </w:p>
    <w:p>
      <w:pPr>
        <w:spacing w:afterLines="25" w:line="300" w:lineRule="auto"/>
        <w:ind w:firstLine="422" w:firstLineChars="200"/>
        <w:rPr>
          <w:rFonts w:ascii="Arial" w:hAnsi="Arial" w:eastAsia="宋体" w:cs="Times New Roman"/>
          <w:b/>
          <w:color w:val="FF0000"/>
          <w:szCs w:val="21"/>
          <w:highlight w:val="none"/>
        </w:rPr>
      </w:pPr>
    </w:p>
    <w:p>
      <w:pPr>
        <w:spacing w:afterLines="25" w:line="300" w:lineRule="auto"/>
        <w:ind w:firstLine="422" w:firstLineChars="200"/>
        <w:rPr>
          <w:rFonts w:ascii="Arial" w:hAnsi="Arial" w:eastAsia="宋体" w:cs="Times New Roman"/>
          <w:b/>
          <w:color w:val="FF0000"/>
          <w:szCs w:val="21"/>
          <w:highlight w:val="none"/>
        </w:rPr>
      </w:pPr>
      <w:r>
        <w:rPr>
          <w:rFonts w:hint="eastAsia" w:ascii="Arial" w:hAnsi="Arial" w:eastAsia="宋体" w:cs="Times New Roman"/>
          <w:b/>
          <w:color w:val="FF0000"/>
          <w:szCs w:val="21"/>
          <w:highlight w:val="none"/>
        </w:rPr>
        <w:t>附：省级以上监狱管理局、戒毒管理局（含新疆生产建设兵团）出具的监狱企业证明文件。</w:t>
      </w:r>
    </w:p>
    <w:p>
      <w:pPr>
        <w:spacing w:afterLines="25" w:line="300" w:lineRule="auto"/>
        <w:ind w:firstLine="422" w:firstLineChars="200"/>
        <w:rPr>
          <w:rFonts w:ascii="Arial" w:hAnsi="Arial" w:eastAsia="宋体" w:cs="Times New Roman"/>
          <w:b/>
          <w:color w:val="FF0000"/>
          <w:szCs w:val="21"/>
          <w:highlight w:val="none"/>
        </w:rPr>
      </w:pPr>
    </w:p>
    <w:p>
      <w:pPr>
        <w:spacing w:afterLines="25" w:line="300" w:lineRule="auto"/>
        <w:ind w:firstLine="422" w:firstLineChars="200"/>
        <w:rPr>
          <w:rFonts w:ascii="Arial" w:hAnsi="Arial" w:eastAsia="宋体" w:cs="Times New Roman"/>
          <w:b/>
          <w:color w:val="FF0000"/>
          <w:szCs w:val="21"/>
          <w:highlight w:val="none"/>
        </w:rPr>
      </w:pPr>
    </w:p>
    <w:p>
      <w:pPr>
        <w:wordWrap w:val="0"/>
        <w:spacing w:afterLines="25" w:line="300" w:lineRule="auto"/>
        <w:ind w:right="420" w:firstLine="4410" w:firstLineChars="2100"/>
        <w:jc w:val="right"/>
        <w:rPr>
          <w:rFonts w:ascii="Arial" w:hAnsi="Arial" w:eastAsia="宋体" w:cs="Times New Roman"/>
          <w:szCs w:val="21"/>
          <w:highlight w:val="none"/>
        </w:rPr>
      </w:pPr>
      <w:r>
        <w:rPr>
          <w:rFonts w:hint="eastAsia" w:ascii="Arial" w:hAnsi="Arial" w:eastAsia="宋体" w:cs="Times New Roman"/>
          <w:szCs w:val="21"/>
          <w:highlight w:val="none"/>
        </w:rPr>
        <w:t xml:space="preserve">投标人（投标单位）：     </w:t>
      </w:r>
    </w:p>
    <w:p>
      <w:pPr>
        <w:spacing w:before="120" w:beforeLines="50"/>
        <w:jc w:val="center"/>
        <w:rPr>
          <w:rFonts w:hint="eastAsia"/>
          <w:b/>
          <w:bCs/>
          <w:color w:val="FF0000"/>
          <w:highlight w:val="none"/>
        </w:rPr>
      </w:pPr>
      <w:r>
        <w:rPr>
          <w:rFonts w:hint="eastAsia" w:ascii="Arial" w:hAnsi="Arial" w:eastAsia="宋体" w:cs="Times New Roman"/>
          <w:szCs w:val="21"/>
          <w:highlight w:val="none"/>
        </w:rPr>
        <w:t xml:space="preserve">日期：    </w:t>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4</w:t>
      </w:r>
      <w:r>
        <w:rPr>
          <w:rFonts w:ascii="宋体" w:hAnsi="宋体" w:eastAsia="宋体" w:cs="Times New Roman"/>
          <w:b/>
          <w:bCs/>
          <w:kern w:val="0"/>
          <w:sz w:val="24"/>
          <w:szCs w:val="20"/>
          <w:highlight w:val="none"/>
        </w:rPr>
        <w:t>.</w:t>
      </w:r>
      <w:r>
        <w:rPr>
          <w:rFonts w:hint="eastAsia" w:ascii="宋体" w:hAnsi="宋体" w:eastAsia="宋体" w:cs="Times New Roman"/>
          <w:b/>
          <w:bCs/>
          <w:kern w:val="0"/>
          <w:sz w:val="24"/>
          <w:szCs w:val="20"/>
          <w:highlight w:val="none"/>
        </w:rPr>
        <w:t>分项报价清单</w:t>
      </w:r>
    </w:p>
    <w:p>
      <w:pPr>
        <w:spacing w:afterLines="25" w:line="300" w:lineRule="auto"/>
        <w:rPr>
          <w:rFonts w:ascii="Arial" w:hAnsi="Arial" w:eastAsia="宋体" w:cs="Arial"/>
          <w:szCs w:val="24"/>
          <w:highlight w:val="none"/>
        </w:rPr>
      </w:pPr>
      <w:r>
        <w:rPr>
          <w:rFonts w:hint="eastAsia" w:ascii="Arial" w:hAnsi="Arial" w:eastAsia="宋体" w:cs="Arial"/>
          <w:color w:val="000000"/>
          <w:szCs w:val="24"/>
          <w:highlight w:val="none"/>
        </w:rPr>
        <w:t>投标单位（投标人）名称：</w:t>
      </w:r>
      <w:r>
        <w:rPr>
          <w:rFonts w:ascii="Arial" w:hAnsi="Arial" w:eastAsia="宋体" w:cs="Arial"/>
          <w:color w:val="000000"/>
          <w:szCs w:val="24"/>
          <w:highlight w:val="none"/>
          <w:u w:val="single"/>
        </w:rPr>
        <w:t xml:space="preserve">                          </w:t>
      </w:r>
    </w:p>
    <w:p>
      <w:pPr>
        <w:tabs>
          <w:tab w:val="left" w:pos="720"/>
        </w:tabs>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（一）项目报价表</w:t>
      </w:r>
    </w:p>
    <w:tbl>
      <w:tblPr>
        <w:tblStyle w:val="16"/>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3"/>
        <w:gridCol w:w="1028"/>
        <w:gridCol w:w="1200"/>
        <w:gridCol w:w="1327"/>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序号</w:t>
            </w:r>
          </w:p>
        </w:tc>
        <w:tc>
          <w:tcPr>
            <w:tcW w:w="22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货物名称</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Arial" w:hAnsi="Arial" w:eastAsia="宋体" w:cs="Times New Roman"/>
                <w:szCs w:val="24"/>
                <w:highlight w:val="none"/>
              </w:rPr>
            </w:pPr>
            <w:r>
              <w:rPr>
                <w:rFonts w:hint="eastAsia" w:ascii="Arial" w:hAnsi="Arial" w:eastAsia="宋体" w:cs="Times New Roman"/>
                <w:szCs w:val="24"/>
                <w:highlight w:val="none"/>
                <w:lang w:val="en-US" w:eastAsia="zh-CN"/>
              </w:rPr>
              <w:t>品牌</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规格</w:t>
            </w:r>
            <w:r>
              <w:rPr>
                <w:rFonts w:hint="eastAsia" w:ascii="Arial" w:hAnsi="Arial" w:eastAsia="宋体" w:cs="Times New Roman"/>
                <w:szCs w:val="24"/>
                <w:highlight w:val="none"/>
                <w:lang w:val="en-US" w:eastAsia="zh-CN"/>
              </w:rPr>
              <w:t>/</w:t>
            </w:r>
            <w:r>
              <w:rPr>
                <w:rFonts w:hint="eastAsia" w:ascii="Arial" w:hAnsi="Arial" w:eastAsia="宋体" w:cs="Times New Roman"/>
                <w:szCs w:val="24"/>
                <w:highlight w:val="none"/>
              </w:rPr>
              <w:t>型号</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b/>
                <w:szCs w:val="24"/>
                <w:highlight w:val="none"/>
              </w:rPr>
            </w:pPr>
            <w:r>
              <w:rPr>
                <w:rFonts w:hint="eastAsia" w:ascii="Arial" w:hAnsi="Arial" w:eastAsia="宋体" w:cs="Times New Roman"/>
                <w:b w:val="0"/>
                <w:bCs/>
                <w:szCs w:val="24"/>
                <w:highlight w:val="none"/>
              </w:rPr>
              <w:t>制造商名称</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原产地</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数量</w:t>
            </w:r>
          </w:p>
        </w:tc>
        <w:tc>
          <w:tcPr>
            <w:tcW w:w="708" w:type="dxa"/>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单位</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单价(元)</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Arial" w:hAnsi="Arial" w:eastAsia="宋体" w:cs="Times New Roman"/>
                <w:szCs w:val="24"/>
                <w:highlight w:val="none"/>
              </w:rPr>
            </w:pPr>
            <w:r>
              <w:rPr>
                <w:rFonts w:hint="eastAsia" w:ascii="Arial" w:hAnsi="Arial" w:eastAsia="宋体" w:cs="Times New Roman"/>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1</w:t>
            </w:r>
          </w:p>
        </w:tc>
        <w:tc>
          <w:tcPr>
            <w:tcW w:w="2263" w:type="dxa"/>
            <w:vAlign w:val="center"/>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2</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3</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szCs w:val="24"/>
                <w:highlight w:val="none"/>
              </w:rPr>
              <w:t>……</w:t>
            </w:r>
          </w:p>
        </w:tc>
        <w:tc>
          <w:tcPr>
            <w:tcW w:w="2263" w:type="dxa"/>
          </w:tcPr>
          <w:p>
            <w:pPr>
              <w:spacing w:afterLines="25" w:line="300" w:lineRule="auto"/>
              <w:rPr>
                <w:rFonts w:ascii="Arial" w:hAnsi="Arial" w:eastAsia="宋体" w:cs="Times New Roman"/>
                <w:b/>
                <w:szCs w:val="24"/>
                <w:highlight w:val="none"/>
              </w:rPr>
            </w:pPr>
          </w:p>
        </w:tc>
        <w:tc>
          <w:tcPr>
            <w:tcW w:w="1028" w:type="dxa"/>
          </w:tcPr>
          <w:p>
            <w:pPr>
              <w:spacing w:afterLines="25" w:line="300" w:lineRule="auto"/>
              <w:rPr>
                <w:rFonts w:ascii="Arial" w:hAnsi="Arial" w:eastAsia="宋体" w:cs="Times New Roman"/>
                <w:szCs w:val="24"/>
                <w:highlight w:val="none"/>
              </w:rPr>
            </w:pPr>
          </w:p>
        </w:tc>
        <w:tc>
          <w:tcPr>
            <w:tcW w:w="1200" w:type="dxa"/>
          </w:tcPr>
          <w:p>
            <w:pPr>
              <w:spacing w:afterLines="25" w:line="300" w:lineRule="auto"/>
              <w:rPr>
                <w:rFonts w:ascii="Arial" w:hAnsi="Arial" w:eastAsia="宋体" w:cs="Times New Roman"/>
                <w:szCs w:val="24"/>
                <w:highlight w:val="none"/>
              </w:rPr>
            </w:pPr>
          </w:p>
        </w:tc>
        <w:tc>
          <w:tcPr>
            <w:tcW w:w="1327" w:type="dxa"/>
          </w:tcPr>
          <w:p>
            <w:pPr>
              <w:spacing w:afterLines="25" w:line="300" w:lineRule="auto"/>
              <w:rPr>
                <w:rFonts w:ascii="Arial" w:hAnsi="Arial" w:eastAsia="宋体" w:cs="Times New Roman"/>
                <w:szCs w:val="24"/>
                <w:highlight w:val="none"/>
              </w:rPr>
            </w:pPr>
          </w:p>
        </w:tc>
        <w:tc>
          <w:tcPr>
            <w:tcW w:w="992" w:type="dxa"/>
          </w:tcPr>
          <w:p>
            <w:pPr>
              <w:spacing w:afterLines="25" w:line="300" w:lineRule="auto"/>
              <w:rPr>
                <w:rFonts w:ascii="Arial" w:hAnsi="Arial" w:eastAsia="宋体" w:cs="Times New Roman"/>
                <w:szCs w:val="24"/>
                <w:highlight w:val="none"/>
              </w:rPr>
            </w:pPr>
          </w:p>
        </w:tc>
        <w:tc>
          <w:tcPr>
            <w:tcW w:w="709" w:type="dxa"/>
          </w:tcPr>
          <w:p>
            <w:pPr>
              <w:spacing w:afterLines="25" w:line="300" w:lineRule="auto"/>
              <w:rPr>
                <w:rFonts w:ascii="Arial" w:hAnsi="Arial" w:eastAsia="宋体" w:cs="Times New Roman"/>
                <w:szCs w:val="24"/>
                <w:highlight w:val="none"/>
              </w:rPr>
            </w:pPr>
          </w:p>
        </w:tc>
        <w:tc>
          <w:tcPr>
            <w:tcW w:w="708" w:type="dxa"/>
          </w:tcPr>
          <w:p>
            <w:pPr>
              <w:spacing w:afterLines="25" w:line="300" w:lineRule="auto"/>
              <w:rPr>
                <w:rFonts w:ascii="Arial" w:hAnsi="Arial" w:eastAsia="宋体" w:cs="Times New Roman"/>
                <w:szCs w:val="24"/>
                <w:highlight w:val="none"/>
              </w:rPr>
            </w:pPr>
          </w:p>
        </w:tc>
        <w:tc>
          <w:tcPr>
            <w:tcW w:w="993" w:type="dxa"/>
          </w:tcPr>
          <w:p>
            <w:pPr>
              <w:spacing w:afterLines="25" w:line="300" w:lineRule="auto"/>
              <w:rPr>
                <w:rFonts w:ascii="Arial" w:hAnsi="Arial" w:eastAsia="宋体" w:cs="Times New Roman"/>
                <w:szCs w:val="24"/>
                <w:highlight w:val="none"/>
              </w:rPr>
            </w:pPr>
          </w:p>
        </w:tc>
        <w:tc>
          <w:tcPr>
            <w:tcW w:w="1322" w:type="dxa"/>
          </w:tcPr>
          <w:p>
            <w:pPr>
              <w:spacing w:afterLines="25" w:line="300" w:lineRule="auto"/>
              <w:rPr>
                <w:rFonts w:ascii="Arial" w:hAnsi="Arial" w:eastAsia="宋体" w:cs="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82" w:type="dxa"/>
            <w:gridSpan w:val="6"/>
          </w:tcPr>
          <w:p>
            <w:pPr>
              <w:spacing w:afterLines="25" w:line="300" w:lineRule="auto"/>
              <w:jc w:val="center"/>
              <w:rPr>
                <w:rFonts w:ascii="Arial" w:hAnsi="Arial" w:eastAsia="宋体" w:cs="Times New Roman"/>
                <w:szCs w:val="24"/>
                <w:highlight w:val="none"/>
              </w:rPr>
            </w:pPr>
            <w:r>
              <w:rPr>
                <w:rFonts w:hint="eastAsia" w:ascii="Arial" w:hAnsi="Arial" w:eastAsia="宋体" w:cs="Times New Roman"/>
                <w:b/>
                <w:szCs w:val="24"/>
                <w:highlight w:val="none"/>
              </w:rPr>
              <w:t>投标总价</w:t>
            </w:r>
            <w:r>
              <w:rPr>
                <w:rFonts w:hint="eastAsia" w:ascii="Arial" w:hAnsi="Arial" w:eastAsia="宋体" w:cs="Times New Roman"/>
                <w:szCs w:val="24"/>
                <w:highlight w:val="none"/>
              </w:rPr>
              <w:t>（</w:t>
            </w:r>
            <w:r>
              <w:rPr>
                <w:rFonts w:hint="eastAsia" w:ascii="Arial" w:hAnsi="Arial" w:eastAsia="宋体" w:cs="Times New Roman"/>
                <w:szCs w:val="24"/>
                <w:highlight w:val="none"/>
                <w:lang w:val="en-US" w:eastAsia="zh-CN"/>
              </w:rPr>
              <w:t>以上各项之和；</w:t>
            </w:r>
            <w:r>
              <w:rPr>
                <w:rFonts w:hint="eastAsia" w:ascii="Arial" w:hAnsi="Arial" w:eastAsia="宋体" w:cs="Times New Roman"/>
                <w:szCs w:val="24"/>
                <w:highlight w:val="none"/>
              </w:rPr>
              <w:t>币种：人民币；单位：元）</w:t>
            </w:r>
          </w:p>
        </w:tc>
        <w:tc>
          <w:tcPr>
            <w:tcW w:w="3732" w:type="dxa"/>
            <w:gridSpan w:val="4"/>
          </w:tcPr>
          <w:p>
            <w:pPr>
              <w:spacing w:afterLines="25" w:line="300" w:lineRule="auto"/>
              <w:rPr>
                <w:rFonts w:ascii="Arial" w:hAnsi="Arial" w:eastAsia="宋体" w:cs="Times New Roman"/>
                <w:szCs w:val="24"/>
                <w:highlight w:val="none"/>
              </w:rPr>
            </w:pPr>
          </w:p>
        </w:tc>
      </w:tr>
    </w:tbl>
    <w:p>
      <w:pPr>
        <w:snapToGrid w:val="0"/>
        <w:rPr>
          <w:rFonts w:cs="Times New Roman" w:asciiTheme="minorEastAsia" w:hAnsiTheme="minorEastAsia"/>
          <w:b/>
          <w:szCs w:val="24"/>
          <w:highlight w:val="none"/>
        </w:rPr>
      </w:pPr>
      <w:r>
        <w:rPr>
          <w:rFonts w:hint="eastAsia" w:cs="Times New Roman" w:asciiTheme="minorEastAsia" w:hAnsiTheme="minorEastAsia"/>
          <w:b/>
          <w:szCs w:val="24"/>
          <w:highlight w:val="none"/>
        </w:rPr>
        <w:t>填写说明：</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rPr>
        <w:t>1.本表可按同样格式扩展。</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3.</w:t>
      </w:r>
      <w:r>
        <w:rPr>
          <w:rFonts w:hint="eastAsia" w:cs="Times New Roman" w:asciiTheme="minorEastAsia" w:hAnsiTheme="minorEastAsia"/>
          <w:b/>
          <w:szCs w:val="24"/>
          <w:highlight w:val="none"/>
        </w:rPr>
        <w:t>如所投货物属于定制类的非量产货物或无具体型号的货物，可以在“规格/型号”一栏仅填写规格信息而不填写型号信息（型号信息用“定制”描述即可）；</w:t>
      </w:r>
      <w:bookmarkStart w:id="30" w:name="_Hlk73646428"/>
      <w:r>
        <w:rPr>
          <w:rFonts w:hint="eastAsia" w:cs="Times New Roman" w:asciiTheme="minorEastAsia" w:hAnsiTheme="minorEastAsia"/>
          <w:b/>
          <w:szCs w:val="24"/>
          <w:highlight w:val="none"/>
        </w:rPr>
        <w:t>此类填写错误</w:t>
      </w:r>
      <w:r>
        <w:rPr>
          <w:rFonts w:hint="eastAsia" w:cs="Times New Roman" w:asciiTheme="minorEastAsia" w:hAnsiTheme="minorEastAsia"/>
          <w:b/>
          <w:szCs w:val="24"/>
          <w:highlight w:val="none"/>
          <w:lang w:val="en-US" w:eastAsia="zh-CN"/>
        </w:rPr>
        <w:t>或缺漏</w:t>
      </w:r>
      <w:r>
        <w:rPr>
          <w:rFonts w:hint="eastAsia" w:cs="Times New Roman" w:asciiTheme="minorEastAsia" w:hAnsiTheme="minorEastAsia"/>
          <w:b/>
          <w:szCs w:val="24"/>
          <w:highlight w:val="none"/>
        </w:rPr>
        <w:t>（所投货物为定制类的非量产货物但供应商却错误填报了型号）</w:t>
      </w:r>
      <w:r>
        <w:rPr>
          <w:rFonts w:hint="eastAsia" w:cs="Times New Roman" w:asciiTheme="minorEastAsia" w:hAnsiTheme="minorEastAsia"/>
          <w:b/>
          <w:szCs w:val="24"/>
          <w:highlight w:val="none"/>
          <w:lang w:val="en-US" w:eastAsia="zh-CN"/>
        </w:rPr>
        <w:t>可能带来</w:t>
      </w:r>
      <w:r>
        <w:rPr>
          <w:rFonts w:hint="eastAsia" w:cs="Times New Roman" w:asciiTheme="minorEastAsia" w:hAnsiTheme="minorEastAsia"/>
          <w:b/>
          <w:szCs w:val="24"/>
          <w:highlight w:val="none"/>
        </w:rPr>
        <w:t>的不利后果由供应商承担。</w:t>
      </w:r>
      <w:bookmarkEnd w:id="30"/>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4</w:t>
      </w:r>
      <w:r>
        <w:rPr>
          <w:rFonts w:hint="eastAsia" w:cs="Times New Roman" w:asciiTheme="minorEastAsia" w:hAnsiTheme="minorEastAsia"/>
          <w:b/>
          <w:szCs w:val="24"/>
          <w:highlight w:val="none"/>
        </w:rPr>
        <w:t>.</w:t>
      </w:r>
      <w:bookmarkStart w:id="31" w:name="_Hlk72074795"/>
      <w:r>
        <w:rPr>
          <w:rFonts w:hint="eastAsia" w:cs="Times New Roman" w:asciiTheme="minorEastAsia" w:hAnsiTheme="minorEastAsia"/>
          <w:b/>
          <w:szCs w:val="24"/>
          <w:highlight w:val="none"/>
        </w:rPr>
        <w:t>“原产地”是指该货物的实际生产加工地，而非品牌所在地</w:t>
      </w:r>
      <w:bookmarkEnd w:id="31"/>
      <w:r>
        <w:rPr>
          <w:rFonts w:hint="eastAsia" w:cs="Times New Roman" w:asciiTheme="minorEastAsia" w:hAnsiTheme="minorEastAsia"/>
          <w:b/>
          <w:szCs w:val="24"/>
          <w:highlight w:val="none"/>
        </w:rPr>
        <w:t>。</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5</w:t>
      </w:r>
      <w:r>
        <w:rPr>
          <w:rFonts w:hint="eastAsia" w:cs="Times New Roman" w:asciiTheme="minorEastAsia" w:hAnsiTheme="minorEastAsia"/>
          <w:b/>
          <w:szCs w:val="24"/>
          <w:highlight w:val="none"/>
        </w:rPr>
        <w:t>.所投货物均应填写制造商名称。“制造商”是指产品</w:t>
      </w:r>
      <w:r>
        <w:rPr>
          <w:rFonts w:hint="eastAsia" w:cs="Times New Roman" w:asciiTheme="minorEastAsia" w:hAnsiTheme="minorEastAsia"/>
          <w:b/>
          <w:szCs w:val="24"/>
          <w:highlight w:val="none"/>
          <w:lang w:val="en-US" w:eastAsia="zh-CN"/>
        </w:rPr>
        <w:t>制造</w:t>
      </w:r>
      <w:r>
        <w:rPr>
          <w:rFonts w:hint="eastAsia" w:cs="Times New Roman" w:asciiTheme="minorEastAsia" w:hAnsiTheme="minorEastAsia"/>
          <w:b/>
          <w:szCs w:val="24"/>
          <w:highlight w:val="none"/>
        </w:rPr>
        <w:t>厂商，产品代工制造的，应填写接受委托生产制造的制造商。</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6</w:t>
      </w:r>
      <w:r>
        <w:rPr>
          <w:rFonts w:hint="eastAsia" w:cs="Times New Roman" w:asciiTheme="minorEastAsia" w:hAnsiTheme="minorEastAsia"/>
          <w:b/>
          <w:szCs w:val="24"/>
          <w:highlight w:val="none"/>
        </w:rPr>
        <w:t>.以上分项报价表的投标总价应当与开标一览表的投标总价一致。</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7</w:t>
      </w:r>
      <w:r>
        <w:rPr>
          <w:rFonts w:hint="eastAsia" w:cs="Times New Roman" w:asciiTheme="minorEastAsia" w:hAnsiTheme="minorEastAsia"/>
          <w:b/>
          <w:szCs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highlight w:val="none"/>
        </w:rPr>
      </w:pPr>
      <w:r>
        <w:rPr>
          <w:rFonts w:hint="eastAsia" w:cs="Times New Roman" w:asciiTheme="minorEastAsia" w:hAnsiTheme="minorEastAsia"/>
          <w:b/>
          <w:szCs w:val="24"/>
          <w:highlight w:val="none"/>
          <w:lang w:val="en-US" w:eastAsia="zh-CN"/>
        </w:rPr>
        <w:t>8</w:t>
      </w:r>
      <w:r>
        <w:rPr>
          <w:rFonts w:hint="eastAsia" w:cs="Times New Roman" w:asciiTheme="minorEastAsia" w:hAnsiTheme="minorEastAsia"/>
          <w:b/>
          <w:szCs w:val="24"/>
          <w:highlight w:val="none"/>
        </w:rPr>
        <w:t>.所有价格应按“招标文件”中规定的货币单位填写；投标总价应为以上各分项价格之和；投标总价和项目报价表中单个采购预算条目报价均不得超过对应的财政预算限额，否则将导致投标无效。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highlight w:val="none"/>
        </w:rPr>
      </w:pPr>
    </w:p>
    <w:p>
      <w:pPr>
        <w:snapToGrid w:val="0"/>
        <w:rPr>
          <w:rFonts w:cs="Times New Roman" w:asciiTheme="minorEastAsia" w:hAnsiTheme="minorEastAsia"/>
          <w:b/>
          <w:color w:val="FF0000"/>
          <w:szCs w:val="24"/>
          <w:highlight w:val="none"/>
        </w:rPr>
      </w:pPr>
      <w:r>
        <w:rPr>
          <w:rFonts w:hint="eastAsia" w:cs="Times New Roman" w:asciiTheme="minorEastAsia" w:hAnsiTheme="minorEastAsia"/>
          <w:bCs/>
          <w:color w:val="FF0000"/>
          <w:szCs w:val="24"/>
          <w:highlight w:val="none"/>
        </w:rPr>
        <w:t>★</w:t>
      </w:r>
      <w:r>
        <w:rPr>
          <w:rFonts w:hint="eastAsia" w:cs="Times New Roman" w:asciiTheme="minorEastAsia" w:hAnsiTheme="minorEastAsia"/>
          <w:b/>
          <w:color w:val="FF0000"/>
          <w:szCs w:val="24"/>
          <w:highlight w:val="none"/>
        </w:rPr>
        <w:t>填写</w:t>
      </w:r>
      <w:r>
        <w:rPr>
          <w:rFonts w:cs="Times New Roman" w:asciiTheme="minorEastAsia" w:hAnsiTheme="minorEastAsia"/>
          <w:b/>
          <w:color w:val="FF0000"/>
          <w:szCs w:val="24"/>
          <w:highlight w:val="none"/>
        </w:rPr>
        <w:t>要求：</w:t>
      </w:r>
    </w:p>
    <w:p>
      <w:pPr>
        <w:snapToGrid w:val="0"/>
        <w:rPr>
          <w:rFonts w:cs="Times New Roman" w:asciiTheme="minorEastAsia" w:hAnsiTheme="minorEastAsia"/>
          <w:b/>
          <w:color w:val="FF0000"/>
          <w:szCs w:val="24"/>
          <w:highlight w:val="none"/>
        </w:rPr>
      </w:pPr>
      <w:r>
        <w:rPr>
          <w:rFonts w:cs="Times New Roman" w:asciiTheme="minorEastAsia" w:hAnsiTheme="minorEastAsia"/>
          <w:b/>
          <w:color w:val="FF0000"/>
          <w:szCs w:val="24"/>
          <w:highlight w:val="none"/>
        </w:rPr>
        <w:t>1.</w:t>
      </w:r>
      <w:r>
        <w:rPr>
          <w:rFonts w:hint="eastAsia" w:cs="Times New Roman" w:asciiTheme="minorEastAsia" w:hAnsiTheme="minorEastAsia"/>
          <w:b/>
          <w:color w:val="FF0000"/>
          <w:szCs w:val="24"/>
          <w:highlight w:val="none"/>
        </w:rPr>
        <w:t>《分项报价清单》</w:t>
      </w:r>
      <w:r>
        <w:rPr>
          <w:rFonts w:cs="Times New Roman" w:asciiTheme="minorEastAsia" w:hAnsiTheme="minorEastAsia"/>
          <w:b/>
          <w:color w:val="FF0000"/>
          <w:szCs w:val="24"/>
          <w:highlight w:val="none"/>
        </w:rPr>
        <w:t>所有价格应</w:t>
      </w:r>
      <w:r>
        <w:rPr>
          <w:rFonts w:hint="eastAsia" w:cs="Times New Roman" w:asciiTheme="minorEastAsia" w:hAnsiTheme="minorEastAsia"/>
          <w:b/>
          <w:color w:val="FF0000"/>
          <w:szCs w:val="24"/>
          <w:highlight w:val="none"/>
        </w:rPr>
        <w:t>以人民币为结算单位填写</w:t>
      </w:r>
      <w:r>
        <w:rPr>
          <w:rFonts w:cs="Times New Roman" w:asciiTheme="minorEastAsia" w:hAnsiTheme="minorEastAsia"/>
          <w:b/>
          <w:color w:val="FF0000"/>
          <w:szCs w:val="24"/>
          <w:highlight w:val="none"/>
        </w:rPr>
        <w:t>；</w:t>
      </w:r>
    </w:p>
    <w:p>
      <w:pPr>
        <w:snapToGrid w:val="0"/>
        <w:rPr>
          <w:rFonts w:cs="Times New Roman" w:asciiTheme="minorEastAsia" w:hAnsiTheme="minorEastAsia"/>
          <w:b/>
          <w:color w:val="FF0000"/>
          <w:szCs w:val="24"/>
          <w:highlight w:val="none"/>
        </w:rPr>
      </w:pPr>
      <w:r>
        <w:rPr>
          <w:rFonts w:cs="Times New Roman" w:asciiTheme="minorEastAsia" w:hAnsiTheme="minorEastAsia"/>
          <w:b/>
          <w:color w:val="FF0000"/>
          <w:szCs w:val="24"/>
          <w:highlight w:val="none"/>
        </w:rPr>
        <w:t>2.</w:t>
      </w:r>
      <w:r>
        <w:rPr>
          <w:rFonts w:hint="eastAsia" w:cs="Times New Roman" w:asciiTheme="minorEastAsia" w:hAnsiTheme="minorEastAsia"/>
          <w:b/>
          <w:color w:val="FF0000"/>
          <w:szCs w:val="24"/>
          <w:highlight w:val="none"/>
        </w:rPr>
        <w:t>《（一）项目报价表》</w:t>
      </w:r>
      <w:r>
        <w:rPr>
          <w:rFonts w:cs="Times New Roman" w:asciiTheme="minorEastAsia" w:hAnsiTheme="minorEastAsia"/>
          <w:b/>
          <w:color w:val="FF0000"/>
          <w:szCs w:val="24"/>
          <w:highlight w:val="none"/>
        </w:rPr>
        <w:t>可根据</w:t>
      </w:r>
      <w:r>
        <w:rPr>
          <w:rFonts w:hint="eastAsia" w:cs="Times New Roman" w:asciiTheme="minorEastAsia" w:hAnsiTheme="minorEastAsia"/>
          <w:b/>
          <w:color w:val="FF0000"/>
          <w:szCs w:val="24"/>
          <w:highlight w:val="none"/>
        </w:rPr>
        <w:t>实际需要</w:t>
      </w:r>
      <w:r>
        <w:rPr>
          <w:rFonts w:cs="Times New Roman" w:asciiTheme="minorEastAsia" w:hAnsiTheme="minorEastAsia"/>
          <w:b/>
          <w:color w:val="FF0000"/>
          <w:szCs w:val="24"/>
          <w:highlight w:val="none"/>
        </w:rPr>
        <w:t>增加</w:t>
      </w:r>
      <w:r>
        <w:rPr>
          <w:rFonts w:hint="eastAsia" w:cs="Times New Roman" w:asciiTheme="minorEastAsia" w:hAnsiTheme="minorEastAsia"/>
          <w:b/>
          <w:color w:val="FF0000"/>
          <w:szCs w:val="24"/>
          <w:highlight w:val="none"/>
        </w:rPr>
        <w:t>相关</w:t>
      </w:r>
      <w:r>
        <w:rPr>
          <w:rFonts w:cs="Times New Roman" w:asciiTheme="minorEastAsia" w:hAnsiTheme="minorEastAsia"/>
          <w:b/>
          <w:color w:val="FF0000"/>
          <w:szCs w:val="24"/>
          <w:highlight w:val="none"/>
        </w:rPr>
        <w:t>内容，但原</w:t>
      </w:r>
      <w:r>
        <w:rPr>
          <w:rFonts w:hint="eastAsia" w:cs="Times New Roman" w:asciiTheme="minorEastAsia" w:hAnsiTheme="minorEastAsia"/>
          <w:b/>
          <w:color w:val="FF0000"/>
          <w:szCs w:val="24"/>
          <w:highlight w:val="none"/>
        </w:rPr>
        <w:t>有</w:t>
      </w:r>
      <w:r>
        <w:rPr>
          <w:rFonts w:cs="Times New Roman" w:asciiTheme="minorEastAsia" w:hAnsiTheme="minorEastAsia"/>
          <w:b/>
          <w:color w:val="FF0000"/>
          <w:szCs w:val="24"/>
          <w:highlight w:val="none"/>
        </w:rPr>
        <w:t>的格式</w:t>
      </w:r>
      <w:r>
        <w:rPr>
          <w:rFonts w:hint="eastAsia" w:cs="Times New Roman" w:asciiTheme="minorEastAsia" w:hAnsiTheme="minorEastAsia"/>
          <w:b/>
          <w:color w:val="FF0000"/>
          <w:szCs w:val="24"/>
          <w:highlight w:val="none"/>
        </w:rPr>
        <w:t>内容</w:t>
      </w:r>
      <w:r>
        <w:rPr>
          <w:rFonts w:cs="Times New Roman" w:asciiTheme="minorEastAsia" w:hAnsiTheme="minorEastAsia"/>
          <w:b/>
          <w:color w:val="FF0000"/>
          <w:szCs w:val="24"/>
          <w:highlight w:val="none"/>
        </w:rPr>
        <w:t>不得删减；</w:t>
      </w:r>
    </w:p>
    <w:p>
      <w:pPr>
        <w:snapToGrid w:val="0"/>
        <w:rPr>
          <w:rFonts w:cs="Times New Roman" w:asciiTheme="minorEastAsia" w:hAnsiTheme="minorEastAsia"/>
          <w:b/>
          <w:color w:val="FF0000"/>
          <w:szCs w:val="24"/>
          <w:highlight w:val="none"/>
        </w:rPr>
      </w:pPr>
      <w:r>
        <w:rPr>
          <w:rFonts w:hint="eastAsia" w:cs="Times New Roman" w:asciiTheme="minorEastAsia" w:hAnsiTheme="minorEastAsia"/>
          <w:b/>
          <w:color w:val="FF0000"/>
          <w:szCs w:val="24"/>
          <w:highlight w:val="none"/>
        </w:rPr>
        <w:t>3.</w:t>
      </w:r>
      <w:r>
        <w:rPr>
          <w:rFonts w:cs="Times New Roman" w:asciiTheme="minorEastAsia" w:hAnsiTheme="minorEastAsia"/>
          <w:b/>
          <w:color w:val="FF0000"/>
          <w:szCs w:val="24"/>
          <w:highlight w:val="none"/>
        </w:rPr>
        <w:t>如</w:t>
      </w:r>
      <w:r>
        <w:rPr>
          <w:rFonts w:hint="eastAsia" w:cs="Times New Roman" w:asciiTheme="minorEastAsia" w:hAnsiTheme="minorEastAsia"/>
          <w:b/>
          <w:color w:val="FF0000"/>
          <w:szCs w:val="24"/>
          <w:highlight w:val="none"/>
        </w:rPr>
        <w:t>未提供《（一）项目报价表》或者</w:t>
      </w:r>
      <w:r>
        <w:rPr>
          <w:rFonts w:cs="Times New Roman" w:asciiTheme="minorEastAsia" w:hAnsiTheme="minorEastAsia"/>
          <w:b/>
          <w:color w:val="FF0000"/>
          <w:szCs w:val="24"/>
          <w:highlight w:val="none"/>
        </w:rPr>
        <w:t>不按</w:t>
      </w:r>
      <w:r>
        <w:rPr>
          <w:rFonts w:hint="eastAsia" w:cs="Times New Roman" w:asciiTheme="minorEastAsia" w:hAnsiTheme="minorEastAsia"/>
          <w:b/>
          <w:color w:val="FF0000"/>
          <w:szCs w:val="24"/>
          <w:highlight w:val="none"/>
        </w:rPr>
        <w:t>《第三章 用户需求书：二、货物需求明细》</w:t>
      </w:r>
      <w:r>
        <w:rPr>
          <w:rFonts w:cs="Times New Roman" w:asciiTheme="minorEastAsia" w:hAnsiTheme="minorEastAsia"/>
          <w:b/>
          <w:color w:val="FF0000"/>
          <w:szCs w:val="24"/>
          <w:highlight w:val="none"/>
        </w:rPr>
        <w:t>要求填报、漏报或错报</w:t>
      </w:r>
      <w:r>
        <w:rPr>
          <w:rFonts w:hint="eastAsia" w:cs="Times New Roman" w:asciiTheme="minorEastAsia" w:hAnsiTheme="minorEastAsia"/>
          <w:b/>
          <w:color w:val="FF0000"/>
          <w:szCs w:val="24"/>
          <w:highlight w:val="none"/>
        </w:rPr>
        <w:t>的将作</w:t>
      </w:r>
      <w:r>
        <w:rPr>
          <w:rFonts w:cs="Times New Roman" w:asciiTheme="minorEastAsia" w:hAnsiTheme="minorEastAsia"/>
          <w:b/>
          <w:color w:val="FF0000"/>
          <w:szCs w:val="24"/>
          <w:highlight w:val="none"/>
        </w:rPr>
        <w:t>投标无效处理。</w:t>
      </w:r>
    </w:p>
    <w:p>
      <w:pPr>
        <w:tabs>
          <w:tab w:val="left" w:pos="720"/>
        </w:tabs>
        <w:rPr>
          <w:rFonts w:ascii="Times New Roman" w:hAnsi="Times New Roman" w:eastAsia="宋体" w:cs="Times New Roman"/>
          <w:b/>
          <w:sz w:val="24"/>
          <w:szCs w:val="24"/>
          <w:highlight w:val="none"/>
        </w:rPr>
      </w:pPr>
    </w:p>
    <w:p>
      <w:pPr>
        <w:tabs>
          <w:tab w:val="left" w:pos="720"/>
        </w:tabs>
        <w:rPr>
          <w:rFonts w:ascii="Times New Roman" w:hAnsi="Times New Roman" w:eastAsia="宋体" w:cs="Times New Roman"/>
          <w:b/>
          <w:color w:val="FF0000"/>
          <w:sz w:val="24"/>
          <w:szCs w:val="24"/>
          <w:highlight w:val="none"/>
        </w:rPr>
      </w:pPr>
      <w:r>
        <w:rPr>
          <w:rFonts w:hint="eastAsia" w:ascii="Times New Roman" w:hAnsi="Times New Roman" w:eastAsia="宋体" w:cs="Times New Roman"/>
          <w:b/>
          <w:color w:val="FF0000"/>
          <w:sz w:val="24"/>
          <w:szCs w:val="24"/>
          <w:highlight w:val="none"/>
        </w:rPr>
        <w:t>（二）核心产品品牌</w:t>
      </w:r>
    </w:p>
    <w:p>
      <w:pPr>
        <w:rPr>
          <w:rFonts w:hint="eastAsia" w:ascii="Times New Roman" w:hAnsi="Times New Roman" w:eastAsia="宋体" w:cs="Times New Roman"/>
          <w:color w:val="FF0000"/>
          <w:sz w:val="24"/>
          <w:szCs w:val="24"/>
          <w:highlight w:val="none"/>
        </w:rPr>
      </w:pPr>
      <w:r>
        <w:rPr>
          <w:rFonts w:hint="eastAsia" w:ascii="Times New Roman" w:hAnsi="Times New Roman" w:eastAsia="宋体" w:cs="Times New Roman"/>
          <w:b/>
          <w:color w:val="FF0000"/>
          <w:sz w:val="24"/>
          <w:szCs w:val="24"/>
          <w:highlight w:val="none"/>
        </w:rPr>
        <w:t>我单位所投核心产品的品牌为：</w:t>
      </w:r>
      <w:r>
        <w:rPr>
          <w:rFonts w:hint="eastAsia" w:ascii="Times New Roman" w:hAnsi="Times New Roman" w:eastAsia="宋体" w:cs="Times New Roman"/>
          <w:color w:val="FF0000"/>
          <w:sz w:val="24"/>
          <w:szCs w:val="24"/>
          <w:highlight w:val="none"/>
          <w:u w:val="single"/>
        </w:rPr>
        <w:t xml:space="preserve">               </w:t>
      </w:r>
      <w:r>
        <w:rPr>
          <w:rFonts w:hint="eastAsia" w:ascii="Times New Roman" w:hAnsi="Times New Roman" w:eastAsia="宋体" w:cs="Times New Roman"/>
          <w:color w:val="FF0000"/>
          <w:sz w:val="24"/>
          <w:szCs w:val="24"/>
          <w:highlight w:val="none"/>
        </w:rPr>
        <w:t>。</w:t>
      </w:r>
    </w:p>
    <w:p>
      <w:pPr>
        <w:rPr>
          <w:rFonts w:ascii="Arial" w:hAnsi="Arial" w:eastAsia="宋体" w:cs="Times New Roman"/>
          <w:b/>
          <w:szCs w:val="24"/>
          <w:highlight w:val="none"/>
        </w:rPr>
      </w:pPr>
      <w:r>
        <w:rPr>
          <w:rFonts w:hint="eastAsia" w:ascii="宋体" w:hAnsi="宋体" w:eastAsia="宋体" w:cs="Times New Roman"/>
          <w:color w:val="FF0000"/>
          <w:sz w:val="24"/>
          <w:szCs w:val="24"/>
          <w:highlight w:val="none"/>
        </w:rPr>
        <w:t>备注：单一产品采购项目，核心产品即为该单一产品。</w:t>
      </w:r>
    </w:p>
    <w:p>
      <w:pPr>
        <w:spacing w:afterLines="25" w:line="300" w:lineRule="auto"/>
        <w:rPr>
          <w:rFonts w:ascii="Arial" w:hAnsi="Arial" w:eastAsia="宋体" w:cs="Times New Roman"/>
          <w:b/>
          <w:szCs w:val="24"/>
          <w:highlight w:val="none"/>
        </w:rPr>
      </w:pPr>
    </w:p>
    <w:p>
      <w:pPr>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（三）可选配件报价清单（非项目需求要求的必备配件，此部分不包括在总报价内）</w:t>
      </w:r>
    </w:p>
    <w:p>
      <w:pPr>
        <w:ind w:firstLine="422" w:firstLineChars="200"/>
        <w:rPr>
          <w:rFonts w:hint="eastAsia" w:hAnsi="宋体"/>
          <w:b/>
          <w:bCs/>
          <w:szCs w:val="21"/>
          <w:highlight w:val="none"/>
        </w:rPr>
      </w:pPr>
      <w:r>
        <w:rPr>
          <w:rFonts w:hint="eastAsia" w:hAnsi="宋体"/>
          <w:b/>
          <w:bCs/>
          <w:szCs w:val="21"/>
          <w:highlight w:val="none"/>
        </w:rPr>
        <w:t>注：格式可以参照《（一）</w:t>
      </w:r>
      <w:r>
        <w:rPr>
          <w:rFonts w:hint="eastAsia" w:hAnsi="宋体"/>
          <w:b/>
          <w:bCs/>
          <w:szCs w:val="21"/>
          <w:highlight w:val="none"/>
          <w:lang w:val="en-US" w:eastAsia="zh-CN"/>
        </w:rPr>
        <w:t>项目</w:t>
      </w:r>
      <w:r>
        <w:rPr>
          <w:rFonts w:hint="eastAsia" w:hAnsi="宋体"/>
          <w:b/>
          <w:bCs/>
          <w:szCs w:val="21"/>
          <w:highlight w:val="none"/>
        </w:rPr>
        <w:t>报价表》表格，并提供相应的品牌/规格/型号、原产地、制造商信息（没有品牌、型号的，用“定制”描述即可）、单价等详细信息</w:t>
      </w:r>
    </w:p>
    <w:p>
      <w:pPr>
        <w:ind w:firstLine="422" w:firstLineChars="200"/>
        <w:rPr>
          <w:rFonts w:hint="eastAsia" w:hAnsi="宋体"/>
          <w:b/>
          <w:bCs/>
          <w:szCs w:val="21"/>
          <w:highlight w:val="none"/>
        </w:rPr>
      </w:pPr>
    </w:p>
    <w:p>
      <w:pPr>
        <w:spacing w:afterLines="25" w:line="300" w:lineRule="auto"/>
        <w:rPr>
          <w:rFonts w:ascii="Arial" w:hAnsi="Arial" w:eastAsia="宋体" w:cs="Times New Roman"/>
          <w:b/>
          <w:sz w:val="24"/>
          <w:szCs w:val="24"/>
          <w:highlight w:val="none"/>
        </w:rPr>
      </w:pPr>
      <w:r>
        <w:rPr>
          <w:rFonts w:hint="eastAsia" w:ascii="Arial" w:hAnsi="Arial" w:eastAsia="宋体" w:cs="Times New Roman"/>
          <w:b/>
          <w:sz w:val="24"/>
          <w:szCs w:val="24"/>
          <w:highlight w:val="none"/>
        </w:rPr>
        <w:t>（四）供应商认为需要涉及的其他内容报价清单</w:t>
      </w:r>
    </w:p>
    <w:p>
      <w:pPr>
        <w:wordWrap w:val="0"/>
        <w:spacing w:afterLines="25" w:line="300" w:lineRule="auto"/>
        <w:ind w:right="420" w:firstLine="4410" w:firstLineChars="2100"/>
        <w:jc w:val="right"/>
        <w:rPr>
          <w:rFonts w:ascii="Arial" w:hAnsi="Arial" w:eastAsia="宋体" w:cs="Times New Roman"/>
          <w:szCs w:val="21"/>
          <w:highlight w:val="none"/>
        </w:rPr>
      </w:pPr>
      <w:r>
        <w:rPr>
          <w:rFonts w:hint="eastAsia" w:ascii="Arial" w:hAnsi="Arial" w:eastAsia="宋体" w:cs="Times New Roman"/>
          <w:szCs w:val="21"/>
          <w:highlight w:val="none"/>
        </w:rPr>
        <w:t xml:space="preserve">   </w:t>
      </w:r>
    </w:p>
    <w:p>
      <w:pPr>
        <w:widowControl/>
        <w:jc w:val="left"/>
        <w:rPr>
          <w:rFonts w:ascii="Arial" w:hAnsi="Arial" w:eastAsia="宋体" w:cs="Arial"/>
          <w:color w:val="000000"/>
          <w:szCs w:val="24"/>
          <w:highlight w:val="none"/>
        </w:rPr>
      </w:pPr>
      <w:r>
        <w:rPr>
          <w:rFonts w:ascii="宋体" w:hAnsi="宋体" w:eastAsia="宋体" w:cs="Times New Roman"/>
          <w:b/>
          <w:sz w:val="24"/>
          <w:szCs w:val="24"/>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5</w:t>
      </w:r>
      <w:r>
        <w:rPr>
          <w:rFonts w:hint="eastAsia" w:ascii="宋体" w:hAnsi="宋体" w:eastAsia="宋体" w:cs="Times New Roman"/>
          <w:b/>
          <w:bCs/>
          <w:kern w:val="0"/>
          <w:sz w:val="24"/>
          <w:szCs w:val="20"/>
          <w:highlight w:val="none"/>
        </w:rPr>
        <w:t>.经验情况表</w:t>
      </w:r>
    </w:p>
    <w:tbl>
      <w:tblPr>
        <w:tblStyle w:val="16"/>
        <w:tblW w:w="4906"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737"/>
        <w:gridCol w:w="1701"/>
        <w:gridCol w:w="2099"/>
        <w:gridCol w:w="1226"/>
        <w:gridCol w:w="1278"/>
        <w:gridCol w:w="132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441"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序号</w:t>
            </w:r>
          </w:p>
        </w:tc>
        <w:tc>
          <w:tcPr>
            <w:tcW w:w="1017"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用户单位</w:t>
            </w:r>
          </w:p>
        </w:tc>
        <w:tc>
          <w:tcPr>
            <w:tcW w:w="1255" w:type="pct"/>
            <w:vAlign w:val="center"/>
          </w:tcPr>
          <w:p>
            <w:pPr>
              <w:snapToGrid w:val="0"/>
              <w:jc w:val="center"/>
              <w:rPr>
                <w:rFonts w:ascii="宋体" w:hAnsi="宋体" w:eastAsia="宋体" w:cs="Times New Roman"/>
                <w:b/>
                <w:sz w:val="24"/>
                <w:szCs w:val="24"/>
                <w:highlight w:val="none"/>
              </w:rPr>
            </w:pPr>
            <w:r>
              <w:rPr>
                <w:rFonts w:hint="eastAsia" w:ascii="Arial" w:hAnsi="Arial" w:eastAsia="宋体" w:cs="Arial"/>
                <w:b/>
                <w:sz w:val="24"/>
                <w:szCs w:val="24"/>
                <w:highlight w:val="none"/>
              </w:rPr>
              <w:t>项目</w:t>
            </w:r>
            <w:r>
              <w:rPr>
                <w:rFonts w:hint="eastAsia" w:ascii="宋体" w:hAnsi="宋体" w:eastAsia="宋体" w:cs="Times New Roman"/>
                <w:b/>
                <w:sz w:val="24"/>
                <w:szCs w:val="24"/>
                <w:highlight w:val="none"/>
              </w:rPr>
              <w:t>名称</w:t>
            </w:r>
          </w:p>
        </w:tc>
        <w:tc>
          <w:tcPr>
            <w:tcW w:w="733"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时间</w:t>
            </w:r>
          </w:p>
        </w:tc>
        <w:tc>
          <w:tcPr>
            <w:tcW w:w="764" w:type="pct"/>
            <w:vAlign w:val="center"/>
          </w:tcPr>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用户单位</w:t>
            </w:r>
          </w:p>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联系人</w:t>
            </w:r>
          </w:p>
        </w:tc>
        <w:tc>
          <w:tcPr>
            <w:tcW w:w="790" w:type="pct"/>
            <w:vAlign w:val="center"/>
          </w:tcPr>
          <w:p>
            <w:pPr>
              <w:snapToGrid w:val="0"/>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rPr>
              <w:t>用户单位</w:t>
            </w:r>
          </w:p>
          <w:p>
            <w:pPr>
              <w:snapToGrid w:val="0"/>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441" w:type="pct"/>
          </w:tcPr>
          <w:p>
            <w:pPr>
              <w:spacing w:afterLines="25" w:line="300" w:lineRule="auto"/>
              <w:rPr>
                <w:rFonts w:ascii="宋体" w:hAnsi="宋体" w:eastAsia="宋体" w:cs="Arial"/>
                <w:sz w:val="24"/>
                <w:szCs w:val="24"/>
                <w:highlight w:val="none"/>
              </w:rPr>
            </w:pPr>
          </w:p>
        </w:tc>
        <w:tc>
          <w:tcPr>
            <w:tcW w:w="1017" w:type="pct"/>
          </w:tcPr>
          <w:p>
            <w:pPr>
              <w:spacing w:afterLines="25" w:line="300" w:lineRule="auto"/>
              <w:rPr>
                <w:rFonts w:ascii="宋体" w:hAnsi="宋体" w:eastAsia="宋体" w:cs="Arial"/>
                <w:sz w:val="24"/>
                <w:szCs w:val="24"/>
                <w:highlight w:val="none"/>
              </w:rPr>
            </w:pPr>
          </w:p>
        </w:tc>
        <w:tc>
          <w:tcPr>
            <w:tcW w:w="1255" w:type="pct"/>
          </w:tcPr>
          <w:p>
            <w:pPr>
              <w:spacing w:afterLines="25" w:line="300" w:lineRule="auto"/>
              <w:rPr>
                <w:rFonts w:ascii="宋体" w:hAnsi="宋体" w:eastAsia="宋体" w:cs="Arial"/>
                <w:sz w:val="24"/>
                <w:szCs w:val="24"/>
                <w:highlight w:val="none"/>
              </w:rPr>
            </w:pPr>
          </w:p>
        </w:tc>
        <w:tc>
          <w:tcPr>
            <w:tcW w:w="733" w:type="pct"/>
          </w:tcPr>
          <w:p>
            <w:pPr>
              <w:spacing w:afterLines="25" w:line="300" w:lineRule="auto"/>
              <w:rPr>
                <w:rFonts w:ascii="宋体" w:hAnsi="宋体" w:eastAsia="宋体" w:cs="Arial"/>
                <w:sz w:val="24"/>
                <w:szCs w:val="24"/>
                <w:highlight w:val="none"/>
              </w:rPr>
            </w:pPr>
          </w:p>
        </w:tc>
        <w:tc>
          <w:tcPr>
            <w:tcW w:w="764" w:type="pct"/>
          </w:tcPr>
          <w:p>
            <w:pPr>
              <w:spacing w:afterLines="25" w:line="300" w:lineRule="auto"/>
              <w:rPr>
                <w:rFonts w:ascii="宋体" w:hAnsi="宋体" w:eastAsia="宋体" w:cs="Arial"/>
                <w:sz w:val="24"/>
                <w:szCs w:val="24"/>
                <w:highlight w:val="none"/>
              </w:rPr>
            </w:pPr>
          </w:p>
        </w:tc>
        <w:tc>
          <w:tcPr>
            <w:tcW w:w="790" w:type="pct"/>
          </w:tcPr>
          <w:p>
            <w:pPr>
              <w:spacing w:afterLines="25" w:line="300" w:lineRule="auto"/>
              <w:rPr>
                <w:rFonts w:ascii="宋体" w:hAnsi="宋体" w:eastAsia="宋体" w:cs="Arial"/>
                <w:sz w:val="24"/>
                <w:szCs w:val="24"/>
                <w:highlight w:val="none"/>
              </w:rPr>
            </w:pPr>
          </w:p>
        </w:tc>
      </w:tr>
    </w:tbl>
    <w:p>
      <w:pPr>
        <w:spacing w:line="300" w:lineRule="auto"/>
        <w:rPr>
          <w:rFonts w:ascii="Arial" w:hAnsi="Arial" w:eastAsia="宋体" w:cs="Times New Roman"/>
          <w:szCs w:val="24"/>
          <w:highlight w:val="none"/>
        </w:rPr>
      </w:pPr>
      <w:r>
        <w:rPr>
          <w:rFonts w:hint="eastAsia" w:ascii="Arial" w:hAnsi="Arial" w:eastAsia="宋体" w:cs="Times New Roman"/>
          <w:sz w:val="24"/>
          <w:szCs w:val="24"/>
          <w:highlight w:val="none"/>
        </w:rPr>
        <w:t>此表格式可根据评分准则要求进行调整，并将要求提供的证明材料扫描件附后。</w:t>
      </w: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rPr>
          <w:rFonts w:ascii="Arial" w:hAnsi="Arial" w:eastAsia="宋体" w:cs="Times New Roman"/>
          <w:sz w:val="24"/>
          <w:szCs w:val="24"/>
          <w:highlight w:val="none"/>
        </w:rPr>
      </w:pPr>
    </w:p>
    <w:p>
      <w:pPr>
        <w:spacing w:afterLines="25" w:line="300" w:lineRule="auto"/>
        <w:jc w:val="center"/>
        <w:rPr>
          <w:rFonts w:hint="eastAsia" w:ascii="Arial" w:hAnsi="Arial" w:eastAsia="宋体" w:cs="Times New Roman"/>
          <w:b/>
          <w:sz w:val="24"/>
          <w:szCs w:val="24"/>
          <w:highlight w:val="none"/>
        </w:rPr>
      </w:pPr>
      <w:r>
        <w:rPr>
          <w:rFonts w:hint="eastAsia" w:ascii="Arial" w:hAnsi="Arial" w:eastAsia="宋体" w:cs="Times New Roman"/>
          <w:b/>
          <w:sz w:val="24"/>
          <w:szCs w:val="24"/>
          <w:highlight w:val="none"/>
        </w:rPr>
        <w:t>（本章未提供的招标要求的其他文件格式由供应商自拟）</w:t>
      </w:r>
    </w:p>
    <w:p>
      <w:pPr>
        <w:spacing w:afterLines="25" w:line="300" w:lineRule="auto"/>
        <w:jc w:val="center"/>
        <w:rPr>
          <w:rFonts w:hint="eastAsia" w:ascii="Arial" w:hAnsi="Arial" w:eastAsia="宋体" w:cs="Times New Roman"/>
          <w:b/>
          <w:sz w:val="24"/>
          <w:szCs w:val="24"/>
          <w:highlight w:val="none"/>
        </w:rPr>
      </w:pPr>
    </w:p>
    <w:p>
      <w:pPr>
        <w:ind w:firstLine="723" w:firstLineChars="300"/>
        <w:jc w:val="center"/>
        <w:rPr>
          <w:b/>
          <w:color w:val="FF0000"/>
          <w:sz w:val="24"/>
          <w:highlight w:val="none"/>
        </w:rPr>
      </w:pPr>
      <w:r>
        <w:rPr>
          <w:rFonts w:hint="eastAsia"/>
          <w:b/>
          <w:color w:val="FF0000"/>
          <w:sz w:val="24"/>
          <w:highlight w:val="none"/>
        </w:rPr>
        <w:t>（信息公开部分的内容到此为止！以下为信息不公开部分。）</w:t>
      </w:r>
    </w:p>
    <w:p>
      <w:pPr>
        <w:widowControl/>
        <w:jc w:val="left"/>
        <w:rPr>
          <w:rFonts w:ascii="Arial" w:hAnsi="Arial" w:eastAsia="宋体" w:cs="Times New Roman"/>
          <w:szCs w:val="24"/>
          <w:highlight w:val="none"/>
        </w:rPr>
      </w:pPr>
      <w:r>
        <w:rPr>
          <w:rFonts w:ascii="Arial" w:hAnsi="Arial" w:eastAsia="宋体" w:cs="Times New Roman"/>
          <w:szCs w:val="24"/>
          <w:highlight w:val="none"/>
        </w:rPr>
        <w:br w:type="page"/>
      </w:r>
    </w:p>
    <w:p>
      <w:pPr>
        <w:spacing w:afterLines="25" w:line="300" w:lineRule="auto"/>
        <w:outlineLvl w:val="2"/>
        <w:rPr>
          <w:rFonts w:ascii="Arial" w:hAnsi="Arial" w:eastAsia="宋体" w:cs="Times New Roman"/>
          <w:b/>
          <w:color w:val="FF0000"/>
          <w:sz w:val="32"/>
          <w:szCs w:val="32"/>
          <w:highlight w:val="none"/>
        </w:rPr>
      </w:pPr>
      <w:r>
        <w:rPr>
          <w:rFonts w:hint="eastAsia" w:ascii="Arial" w:hAnsi="Arial" w:eastAsia="宋体" w:cs="Times New Roman"/>
          <w:b/>
          <w:color w:val="FF0000"/>
          <w:sz w:val="32"/>
          <w:szCs w:val="32"/>
          <w:highlight w:val="none"/>
        </w:rPr>
        <w:t>（二）投标文件附件（信息不公开部分）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1.法定代表人（负责人）证明书</w:t>
      </w:r>
    </w:p>
    <w:p>
      <w:pPr>
        <w:spacing w:line="300" w:lineRule="auto"/>
        <w:jc w:val="both"/>
        <w:rPr>
          <w:rFonts w:ascii="Arial" w:hAnsi="Arial" w:eastAsia="宋体" w:cs="Arial"/>
          <w:b/>
          <w:sz w:val="24"/>
          <w:szCs w:val="24"/>
          <w:highlight w:val="none"/>
        </w:rPr>
      </w:pPr>
    </w:p>
    <w:p>
      <w:pPr>
        <w:spacing w:line="300" w:lineRule="auto"/>
        <w:ind w:left="140"/>
        <w:rPr>
          <w:rFonts w:asciiTheme="minorEastAsia" w:hAnsiTheme="minorEastAsia"/>
          <w:szCs w:val="21"/>
          <w:highlight w:val="none"/>
        </w:rPr>
      </w:pPr>
      <w:r>
        <w:rPr>
          <w:rFonts w:hint="eastAsia" w:cs="Arial" w:asciiTheme="minorEastAsia" w:hAnsiTheme="minorEastAsia"/>
          <w:sz w:val="24"/>
          <w:szCs w:val="24"/>
          <w:highlight w:val="none"/>
          <w:u w:val="single"/>
        </w:rPr>
        <w:t xml:space="preserve">  （姓名）  </w:t>
      </w:r>
      <w:r>
        <w:rPr>
          <w:rFonts w:hint="eastAsia" w:asciiTheme="minorEastAsia" w:hAnsiTheme="minorEastAsia"/>
          <w:szCs w:val="21"/>
          <w:highlight w:val="none"/>
        </w:rPr>
        <w:t>同志，现任我单位</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职务，为我单位法定代表人（负责人）。</w:t>
      </w:r>
    </w:p>
    <w:p>
      <w:pPr>
        <w:spacing w:line="300" w:lineRule="auto"/>
        <w:ind w:left="140"/>
        <w:rPr>
          <w:rFonts w:asciiTheme="minorEastAsia" w:hAnsiTheme="minorEastAsia"/>
          <w:szCs w:val="21"/>
          <w:highlight w:val="none"/>
          <w:u w:val="single"/>
        </w:rPr>
      </w:pPr>
      <w:r>
        <w:rPr>
          <w:rFonts w:hint="eastAsia" w:asciiTheme="minorEastAsia" w:hAnsiTheme="minorEastAsia"/>
          <w:szCs w:val="21"/>
          <w:highlight w:val="none"/>
        </w:rPr>
        <w:t xml:space="preserve">身份证号： </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none"/>
          <w:lang w:val="en-US" w:eastAsia="zh-CN"/>
        </w:rPr>
        <w:t xml:space="preserve">    </w:t>
      </w:r>
      <w:r>
        <w:rPr>
          <w:rFonts w:hint="eastAsia" w:asciiTheme="minorEastAsia" w:hAnsiTheme="minorEastAsia"/>
          <w:szCs w:val="21"/>
          <w:highlight w:val="none"/>
        </w:rPr>
        <w:t xml:space="preserve">联系电话：  </w:t>
      </w:r>
      <w:r>
        <w:rPr>
          <w:rFonts w:hint="eastAsia" w:asciiTheme="minorEastAsia" w:hAnsiTheme="minorEastAsia"/>
          <w:szCs w:val="21"/>
          <w:highlight w:val="none"/>
          <w:u w:val="single"/>
        </w:rPr>
        <w:t xml:space="preserve">             </w:t>
      </w:r>
    </w:p>
    <w:p>
      <w:pPr>
        <w:spacing w:line="300" w:lineRule="auto"/>
        <w:ind w:left="140"/>
        <w:rPr>
          <w:rFonts w:cs="Arial" w:asciiTheme="minorEastAsia" w:hAnsiTheme="minorEastAsia"/>
          <w:b/>
          <w:sz w:val="24"/>
          <w:szCs w:val="24"/>
          <w:highlight w:val="none"/>
        </w:rPr>
      </w:pPr>
      <w:r>
        <w:rPr>
          <w:rFonts w:hint="eastAsia" w:asciiTheme="minorEastAsia" w:hAnsiTheme="minorEastAsia"/>
          <w:szCs w:val="21"/>
          <w:highlight w:val="none"/>
        </w:rPr>
        <w:t>特此证明。</w:t>
      </w:r>
    </w:p>
    <w:p>
      <w:pPr>
        <w:snapToGrid w:val="0"/>
        <w:rPr>
          <w:rFonts w:hint="eastAsia" w:ascii="宋体" w:hAnsi="宋体" w:eastAsia="宋体" w:cs="Times New Roman"/>
          <w:color w:val="FF0000"/>
          <w:sz w:val="28"/>
          <w:szCs w:val="28"/>
          <w:highlight w:val="none"/>
        </w:rPr>
      </w:pP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说明</w:t>
      </w:r>
      <w:r>
        <w:rPr>
          <w:rFonts w:hint="eastAsia" w:ascii="宋体" w:hAnsi="宋体" w:eastAsia="宋体" w:cs="Times New Roman"/>
          <w:color w:val="FF0000"/>
          <w:sz w:val="21"/>
          <w:szCs w:val="21"/>
          <w:highlight w:val="none"/>
        </w:rPr>
        <w:t>：</w:t>
      </w:r>
    </w:p>
    <w:p>
      <w:pPr>
        <w:snapToGrid w:val="0"/>
        <w:rPr>
          <w:rFonts w:ascii="Arial" w:hAnsi="Arial" w:eastAsia="宋体" w:cs="Times New Roman"/>
          <w:sz w:val="21"/>
          <w:szCs w:val="21"/>
          <w:highlight w:val="none"/>
        </w:rPr>
      </w:pPr>
      <w:r>
        <w:rPr>
          <w:rFonts w:hint="eastAsia" w:ascii="宋体" w:hAnsi="宋体" w:eastAsia="宋体" w:cs="Times New Roman"/>
          <w:color w:val="FF0000"/>
          <w:sz w:val="21"/>
          <w:szCs w:val="21"/>
          <w:highlight w:val="none"/>
        </w:rPr>
        <w:t>1、如发现上述人员非投标人法定代表人（负责人），视同提供虚假资料，按投标无效处理，并将依法承担相应法律责任。</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2、法定代表人为投标人（企业事业单位、国家机关、社会团体）的主要行政负责人。</w:t>
      </w:r>
    </w:p>
    <w:p>
      <w:pPr>
        <w:snapToGrid w:val="0"/>
        <w:rPr>
          <w:rFonts w:hint="eastAsia" w:ascii="宋体" w:hAnsi="宋体" w:eastAsia="宋体" w:cs="Times New Roman"/>
          <w:color w:val="FF0000"/>
          <w:sz w:val="21"/>
          <w:szCs w:val="21"/>
          <w:highlight w:val="none"/>
          <w:lang w:val="en-US" w:eastAsia="zh-CN"/>
        </w:rPr>
      </w:pPr>
      <w:r>
        <w:rPr>
          <w:rFonts w:hint="eastAsia" w:ascii="宋体" w:hAnsi="宋体" w:eastAsia="宋体" w:cs="Times New Roman"/>
          <w:color w:val="FF0000"/>
          <w:sz w:val="21"/>
          <w:szCs w:val="21"/>
          <w:highlight w:val="none"/>
        </w:rPr>
        <w:t>3、本证明书</w:t>
      </w:r>
      <w:r>
        <w:rPr>
          <w:rFonts w:hint="eastAsia" w:ascii="宋体" w:hAnsi="宋体" w:eastAsia="宋体" w:cs="Times New Roman"/>
          <w:color w:val="FF0000"/>
          <w:sz w:val="21"/>
          <w:szCs w:val="21"/>
          <w:highlight w:val="none"/>
          <w:lang w:val="en-US" w:eastAsia="zh-CN"/>
        </w:rPr>
        <w:t>要求提</w:t>
      </w:r>
      <w:r>
        <w:rPr>
          <w:rFonts w:hint="eastAsia" w:ascii="宋体" w:hAnsi="宋体" w:eastAsia="宋体" w:cs="Times New Roman"/>
          <w:color w:val="FF0000"/>
          <w:sz w:val="21"/>
          <w:szCs w:val="21"/>
          <w:highlight w:val="none"/>
        </w:rPr>
        <w:t>供法定代表人（负责人）相关身份证明文件：身份证扫描件（正反两面）；港澳台居民可提供来往通行证扫描件；非中国国籍管辖范围人员，可提供公安部门认可的身份证明材料扫描件。</w:t>
      </w:r>
      <w:r>
        <w:rPr>
          <w:rFonts w:hint="eastAsia" w:ascii="宋体" w:hAnsi="宋体" w:eastAsia="宋体" w:cs="Times New Roman"/>
          <w:color w:val="FF0000"/>
          <w:sz w:val="21"/>
          <w:szCs w:val="21"/>
          <w:highlight w:val="none"/>
          <w:lang w:val="en-US" w:eastAsia="zh-CN"/>
        </w:rPr>
        <w:t>未提供的</w:t>
      </w:r>
      <w:r>
        <w:rPr>
          <w:rFonts w:hint="eastAsia" w:ascii="宋体" w:hAnsi="宋体" w:eastAsia="宋体" w:cs="Times New Roman"/>
          <w:color w:val="FF0000"/>
          <w:sz w:val="21"/>
          <w:szCs w:val="21"/>
          <w:highlight w:val="none"/>
        </w:rPr>
        <w:t>按投标无效处理</w:t>
      </w:r>
      <w:r>
        <w:rPr>
          <w:rFonts w:hint="eastAsia" w:ascii="宋体" w:hAnsi="宋体" w:eastAsia="宋体" w:cs="Times New Roman"/>
          <w:color w:val="FF0000"/>
          <w:sz w:val="21"/>
          <w:szCs w:val="21"/>
          <w:highlight w:val="none"/>
          <w:lang w:eastAsia="zh-CN"/>
        </w:rPr>
        <w:t>。</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4、本项目投标授权代表为法定代表人（负责人）的，无需提供《投标文件签署授权委托书》。</w:t>
      </w:r>
    </w:p>
    <w:p>
      <w:pPr>
        <w:snapToGrid w:val="0"/>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5、内容必须填写真实、清楚，涂改无效，不得转让、买卖。</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264" w:type="dxa"/>
            <w:vAlign w:val="top"/>
          </w:tcPr>
          <w:p>
            <w:pPr>
              <w:jc w:val="center"/>
              <w:rPr>
                <w:rFonts w:hint="eastAsia"/>
                <w:highlight w:val="none"/>
                <w:lang w:val="en-US" w:eastAsia="zh-CN"/>
              </w:rPr>
            </w:pPr>
            <w:r>
              <w:rPr>
                <w:rFonts w:hint="eastAsia"/>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pStyle w:val="9"/>
        <w:rPr>
          <w:highlight w:val="none"/>
        </w:rPr>
      </w:pPr>
    </w:p>
    <w:p>
      <w:pPr>
        <w:spacing w:line="300" w:lineRule="auto"/>
        <w:rPr>
          <w:rFonts w:ascii="Arial" w:hAnsi="Arial" w:eastAsia="宋体" w:cs="Times New Roman"/>
          <w:szCs w:val="21"/>
          <w:highlight w:val="none"/>
        </w:rPr>
      </w:pPr>
      <w:r>
        <w:rPr>
          <w:rFonts w:hint="eastAsia" w:ascii="Arial" w:hAnsi="Arial" w:eastAsia="宋体" w:cs="Times New Roman"/>
          <w:szCs w:val="21"/>
          <w:highlight w:val="none"/>
        </w:rPr>
        <w:t>投标人（投标单位）：</w:t>
      </w:r>
      <w:r>
        <w:rPr>
          <w:rFonts w:ascii="Arial" w:hAnsi="Arial" w:eastAsia="宋体" w:cs="Times New Roman"/>
          <w:szCs w:val="21"/>
          <w:highlight w:val="none"/>
          <w:u w:val="single"/>
        </w:rPr>
        <w:t xml:space="preserve">           </w:t>
      </w:r>
    </w:p>
    <w:p>
      <w:pPr>
        <w:spacing w:line="300" w:lineRule="auto"/>
        <w:rPr>
          <w:rFonts w:ascii="Arial" w:hAnsi="Arial" w:eastAsia="宋体" w:cs="Times New Roman"/>
          <w:szCs w:val="21"/>
          <w:highlight w:val="none"/>
        </w:rPr>
      </w:pPr>
      <w:r>
        <w:rPr>
          <w:rFonts w:hint="eastAsia" w:ascii="Arial" w:hAnsi="Arial" w:eastAsia="宋体" w:cs="Times New Roman"/>
          <w:szCs w:val="21"/>
          <w:highlight w:val="none"/>
        </w:rPr>
        <w:t>日</w:t>
      </w:r>
      <w:r>
        <w:rPr>
          <w:rFonts w:ascii="Arial" w:hAnsi="Arial" w:eastAsia="宋体" w:cs="Times New Roman"/>
          <w:szCs w:val="21"/>
          <w:highlight w:val="none"/>
        </w:rPr>
        <w:t xml:space="preserve">  </w:t>
      </w:r>
      <w:r>
        <w:rPr>
          <w:rFonts w:hint="eastAsia" w:ascii="Arial" w:hAnsi="Arial" w:eastAsia="宋体" w:cs="Times New Roman"/>
          <w:szCs w:val="21"/>
          <w:highlight w:val="none"/>
        </w:rPr>
        <w:t>期：</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年</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月</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日</w:t>
      </w:r>
    </w:p>
    <w:p>
      <w:pPr>
        <w:spacing w:line="500" w:lineRule="exact"/>
        <w:ind w:firstLine="420" w:firstLineChars="200"/>
        <w:rPr>
          <w:rFonts w:ascii="Arial" w:hAnsi="Arial" w:eastAsia="宋体" w:cs="Times New Roman"/>
          <w:szCs w:val="24"/>
          <w:highlight w:val="none"/>
        </w:rPr>
      </w:pP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2.投标文件签署授权委托书</w:t>
      </w:r>
    </w:p>
    <w:p>
      <w:pPr>
        <w:spacing w:line="300" w:lineRule="auto"/>
        <w:jc w:val="center"/>
        <w:rPr>
          <w:rFonts w:ascii="Arial" w:hAnsi="Arial" w:eastAsia="宋体" w:cs="Times New Roman"/>
          <w:b/>
          <w:sz w:val="28"/>
          <w:szCs w:val="28"/>
          <w:highlight w:val="none"/>
        </w:rPr>
      </w:pP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2" w:firstLineChars="200"/>
        <w:rPr>
          <w:rFonts w:hint="eastAsia"/>
          <w:b/>
          <w:color w:val="FF0000"/>
          <w:szCs w:val="21"/>
          <w:highlight w:val="none"/>
        </w:rPr>
      </w:pPr>
    </w:p>
    <w:p>
      <w:pPr>
        <w:spacing w:line="360" w:lineRule="auto"/>
        <w:ind w:firstLine="422" w:firstLineChars="200"/>
        <w:rPr>
          <w:rFonts w:ascii="Arial" w:hAnsi="Arial" w:eastAsia="宋体" w:cs="Times New Roman"/>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spacing w:line="360" w:lineRule="auto"/>
        <w:rPr>
          <w:rFonts w:hint="eastAsia" w:ascii="Arial" w:hAnsi="Arial" w:eastAsia="宋体" w:cs="Times New Roman"/>
          <w:szCs w:val="21"/>
          <w:highlight w:val="none"/>
        </w:rPr>
      </w:pPr>
    </w:p>
    <w:p>
      <w:pPr>
        <w:spacing w:line="360" w:lineRule="auto"/>
        <w:ind w:left="3360" w:leftChars="1600"/>
        <w:rPr>
          <w:rFonts w:ascii="Arial" w:hAnsi="Arial" w:eastAsia="宋体" w:cs="Times New Roman"/>
          <w:szCs w:val="21"/>
          <w:highlight w:val="none"/>
          <w:u w:val="single"/>
        </w:rPr>
      </w:pPr>
      <w:r>
        <w:rPr>
          <w:rFonts w:hint="eastAsia" w:ascii="Arial" w:hAnsi="Arial" w:eastAsia="宋体" w:cs="Times New Roman"/>
          <w:szCs w:val="21"/>
          <w:highlight w:val="none"/>
        </w:rPr>
        <w:t>代理人：</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p>
    <w:p>
      <w:pPr>
        <w:spacing w:line="360" w:lineRule="auto"/>
        <w:ind w:left="3360" w:leftChars="1600"/>
        <w:rPr>
          <w:rFonts w:hint="eastAsia" w:ascii="Arial" w:hAnsi="Arial" w:eastAsia="宋体" w:cs="Times New Roman"/>
          <w:szCs w:val="21"/>
          <w:highlight w:val="none"/>
        </w:rPr>
      </w:pPr>
      <w:r>
        <w:rPr>
          <w:rFonts w:hint="eastAsia" w:ascii="Arial" w:hAnsi="Arial" w:eastAsia="宋体" w:cs="Times New Roman"/>
          <w:szCs w:val="21"/>
          <w:highlight w:val="none"/>
        </w:rPr>
        <w:t>身份证号码：</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职务：</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p>
    <w:p>
      <w:pPr>
        <w:spacing w:line="360" w:lineRule="auto"/>
        <w:ind w:left="3360" w:leftChars="1600"/>
        <w:rPr>
          <w:rFonts w:ascii="Arial" w:hAnsi="Arial" w:eastAsia="宋体" w:cs="Times New Roman"/>
          <w:szCs w:val="21"/>
          <w:highlight w:val="none"/>
        </w:rPr>
      </w:pPr>
      <w:r>
        <w:rPr>
          <w:rFonts w:hint="eastAsia" w:ascii="Arial" w:hAnsi="Arial" w:eastAsia="宋体" w:cs="Times New Roman"/>
          <w:szCs w:val="21"/>
          <w:highlight w:val="none"/>
        </w:rPr>
        <w:t>联系电话：</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手机：</w:t>
      </w:r>
      <w:r>
        <w:rPr>
          <w:rFonts w:ascii="Arial" w:hAnsi="Arial" w:eastAsia="宋体" w:cs="Times New Roman"/>
          <w:szCs w:val="21"/>
          <w:highlight w:val="none"/>
          <w:u w:val="single"/>
        </w:rPr>
        <w:t xml:space="preserve">                 </w:t>
      </w:r>
    </w:p>
    <w:p>
      <w:pPr>
        <w:spacing w:line="360" w:lineRule="auto"/>
        <w:ind w:left="3360" w:leftChars="1600"/>
        <w:rPr>
          <w:rFonts w:ascii="Arial" w:hAnsi="Arial" w:eastAsia="宋体" w:cs="Times New Roman"/>
          <w:szCs w:val="21"/>
          <w:highlight w:val="none"/>
          <w:u w:val="single"/>
        </w:rPr>
      </w:pPr>
      <w:r>
        <w:rPr>
          <w:rFonts w:hint="eastAsia"/>
          <w:szCs w:val="21"/>
          <w:highlight w:val="none"/>
          <w:u w:val="none"/>
          <w:lang w:val="en-US" w:eastAsia="zh-CN"/>
        </w:rPr>
        <w:t>电子邮箱：</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p>
    <w:p>
      <w:pPr>
        <w:spacing w:line="360" w:lineRule="auto"/>
        <w:ind w:left="3360" w:leftChars="1600"/>
        <w:rPr>
          <w:rFonts w:ascii="Arial" w:hAnsi="Arial" w:eastAsia="宋体" w:cs="Times New Roman"/>
          <w:szCs w:val="21"/>
          <w:highlight w:val="none"/>
        </w:rPr>
      </w:pPr>
      <w:r>
        <w:rPr>
          <w:rFonts w:hint="eastAsia" w:ascii="Arial" w:hAnsi="Arial" w:eastAsia="宋体" w:cs="Times New Roman"/>
          <w:szCs w:val="21"/>
          <w:highlight w:val="none"/>
        </w:rPr>
        <w:t>投标人（投标单位）：</w:t>
      </w:r>
      <w:r>
        <w:rPr>
          <w:rFonts w:ascii="Arial" w:hAnsi="Arial" w:eastAsia="宋体" w:cs="Times New Roman"/>
          <w:szCs w:val="21"/>
          <w:highlight w:val="none"/>
          <w:u w:val="single"/>
        </w:rPr>
        <w:t xml:space="preserve">                            </w:t>
      </w:r>
    </w:p>
    <w:p>
      <w:pPr>
        <w:tabs>
          <w:tab w:val="left" w:pos="651"/>
        </w:tabs>
        <w:snapToGrid w:val="0"/>
        <w:jc w:val="center"/>
        <w:rPr>
          <w:rFonts w:ascii="宋体" w:hAnsi="宋体" w:eastAsia="宋体" w:cs="Times New Roman"/>
          <w:color w:val="FF0000"/>
          <w:sz w:val="28"/>
          <w:szCs w:val="28"/>
          <w:highlight w:val="none"/>
        </w:rPr>
      </w:pPr>
      <w:r>
        <w:rPr>
          <w:rFonts w:hint="eastAsia" w:ascii="Arial" w:hAnsi="Arial" w:eastAsia="宋体" w:cs="Times New Roman"/>
          <w:szCs w:val="21"/>
          <w:highlight w:val="none"/>
          <w:lang w:val="en-US" w:eastAsia="zh-CN"/>
        </w:rPr>
        <w:t xml:space="preserve">                           </w:t>
      </w:r>
      <w:r>
        <w:rPr>
          <w:rFonts w:hint="eastAsia" w:ascii="Arial" w:hAnsi="Arial" w:eastAsia="宋体" w:cs="Times New Roman"/>
          <w:szCs w:val="21"/>
          <w:highlight w:val="none"/>
        </w:rPr>
        <w:t>授权委托日期：</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年</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u w:val="single"/>
        </w:rPr>
        <w:t xml:space="preserve"> </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月</w:t>
      </w:r>
      <w:r>
        <w:rPr>
          <w:rFonts w:ascii="Arial" w:hAnsi="Arial" w:eastAsia="宋体" w:cs="Times New Roman"/>
          <w:szCs w:val="21"/>
          <w:highlight w:val="none"/>
        </w:rPr>
        <w:t xml:space="preserve"> </w:t>
      </w:r>
      <w:r>
        <w:rPr>
          <w:rFonts w:ascii="Arial" w:hAnsi="Arial" w:eastAsia="宋体" w:cs="Times New Roman"/>
          <w:szCs w:val="21"/>
          <w:highlight w:val="none"/>
          <w:u w:val="single"/>
        </w:rPr>
        <w:t xml:space="preserve">      </w:t>
      </w:r>
      <w:r>
        <w:rPr>
          <w:rFonts w:hint="eastAsia" w:ascii="Arial" w:hAnsi="Arial" w:eastAsia="宋体" w:cs="Times New Roman"/>
          <w:szCs w:val="21"/>
          <w:highlight w:val="none"/>
        </w:rPr>
        <w:t>日</w:t>
      </w:r>
      <w:r>
        <w:rPr>
          <w:rFonts w:ascii="宋体" w:hAnsi="宋体" w:eastAsia="宋体" w:cs="Times New Roman"/>
          <w:color w:val="FF0000"/>
          <w:sz w:val="28"/>
          <w:szCs w:val="28"/>
          <w:highlight w:val="none"/>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3</w:t>
      </w:r>
      <w:r>
        <w:rPr>
          <w:rFonts w:ascii="宋体" w:hAnsi="宋体" w:eastAsia="宋体" w:cs="Times New Roman"/>
          <w:b/>
          <w:bCs/>
          <w:kern w:val="0"/>
          <w:sz w:val="24"/>
          <w:szCs w:val="20"/>
          <w:highlight w:val="none"/>
        </w:rPr>
        <w:t>.</w:t>
      </w:r>
      <w:r>
        <w:rPr>
          <w:rFonts w:hint="eastAsia" w:ascii="宋体" w:hAnsi="宋体" w:eastAsia="宋体" w:cs="Times New Roman"/>
          <w:b/>
          <w:bCs/>
          <w:kern w:val="0"/>
          <w:sz w:val="24"/>
          <w:szCs w:val="20"/>
          <w:highlight w:val="none"/>
        </w:rPr>
        <w:t>实质性条款响应情况表</w:t>
      </w:r>
    </w:p>
    <w:p>
      <w:pPr>
        <w:snapToGrid w:val="0"/>
        <w:rPr>
          <w:rFonts w:ascii="Arial" w:hAnsi="Arial" w:eastAsia="宋体" w:cs="Arial"/>
          <w:sz w:val="24"/>
          <w:szCs w:val="24"/>
          <w:highlight w:val="none"/>
        </w:rPr>
      </w:pPr>
      <w:r>
        <w:rPr>
          <w:rFonts w:hint="eastAsia" w:ascii="Arial" w:hAnsi="Arial" w:eastAsia="宋体" w:cs="Arial"/>
          <w:color w:val="000000"/>
          <w:sz w:val="24"/>
          <w:szCs w:val="24"/>
          <w:highlight w:val="none"/>
        </w:rPr>
        <w:t>投标单位（投标人）名称：</w:t>
      </w:r>
      <w:r>
        <w:rPr>
          <w:rFonts w:ascii="Arial" w:hAnsi="Arial" w:eastAsia="宋体" w:cs="Arial"/>
          <w:color w:val="000000"/>
          <w:sz w:val="24"/>
          <w:szCs w:val="24"/>
          <w:highlight w:val="none"/>
          <w:u w:val="single"/>
        </w:rPr>
        <w:t xml:space="preserve">                         </w:t>
      </w:r>
    </w:p>
    <w:p>
      <w:pPr>
        <w:snapToGrid w:val="0"/>
        <w:rPr>
          <w:rFonts w:cs="Times New Roman" w:asciiTheme="minorEastAsia" w:hAnsiTheme="minorEastAsia"/>
          <w:b/>
          <w:sz w:val="24"/>
          <w:szCs w:val="24"/>
          <w:highlight w:val="none"/>
        </w:rPr>
      </w:pPr>
    </w:p>
    <w:tbl>
      <w:tblPr>
        <w:tblStyle w:val="16"/>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序号</w:t>
            </w:r>
          </w:p>
        </w:tc>
        <w:tc>
          <w:tcPr>
            <w:tcW w:w="3901"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实质性条款具体内容</w:t>
            </w:r>
          </w:p>
        </w:tc>
        <w:tc>
          <w:tcPr>
            <w:tcW w:w="2176"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投标文件响应</w:t>
            </w:r>
          </w:p>
        </w:tc>
        <w:tc>
          <w:tcPr>
            <w:tcW w:w="1732" w:type="dxa"/>
          </w:tcPr>
          <w:p>
            <w:pPr>
              <w:spacing w:beforeLines="50"/>
              <w:jc w:val="center"/>
              <w:rPr>
                <w:rFonts w:ascii="宋体" w:hAnsi="宋体" w:eastAsia="宋体" w:cs="Arial"/>
                <w:b/>
                <w:szCs w:val="21"/>
                <w:highlight w:val="none"/>
              </w:rPr>
            </w:pPr>
            <w:r>
              <w:rPr>
                <w:rFonts w:hint="eastAsia" w:ascii="宋体" w:hAnsi="宋体" w:eastAsia="宋体" w:cs="Arial"/>
                <w:b/>
                <w:szCs w:val="21"/>
                <w:highlight w:val="none"/>
              </w:rPr>
              <w:t>偏离情况</w:t>
            </w:r>
          </w:p>
        </w:tc>
        <w:tc>
          <w:tcPr>
            <w:tcW w:w="992" w:type="dxa"/>
            <w:vAlign w:val="center"/>
          </w:tcPr>
          <w:p>
            <w:pPr>
              <w:jc w:val="center"/>
              <w:rPr>
                <w:rFonts w:ascii="宋体" w:hAnsi="宋体" w:eastAsia="宋体" w:cs="Arial"/>
                <w:b/>
                <w:szCs w:val="21"/>
                <w:highlight w:val="none"/>
              </w:rPr>
            </w:pPr>
            <w:r>
              <w:rPr>
                <w:rFonts w:hint="eastAsia" w:ascii="宋体" w:hAnsi="宋体" w:eastAsia="宋体" w:cs="Arial"/>
                <w:b/>
                <w:szCs w:val="21"/>
                <w:highlight w:val="none"/>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r>
              <w:rPr>
                <w:rFonts w:hint="eastAsia" w:ascii="宋体" w:hAnsi="宋体" w:eastAsia="宋体" w:cs="Times New Roman"/>
                <w:b/>
                <w:color w:val="FF0000"/>
                <w:kern w:val="0"/>
                <w:szCs w:val="21"/>
                <w:highlight w:val="none"/>
                <w:lang w:val="en-US" w:eastAsia="zh-CN"/>
              </w:rPr>
              <w:t>1</w:t>
            </w:r>
          </w:p>
        </w:tc>
        <w:tc>
          <w:tcPr>
            <w:tcW w:w="3901"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r>
              <w:rPr>
                <w:rFonts w:hint="eastAsia" w:ascii="宋体" w:hAnsi="宋体" w:eastAsia="宋体" w:cs="Times New Roman"/>
                <w:b/>
                <w:color w:val="FF0000"/>
                <w:kern w:val="0"/>
                <w:szCs w:val="21"/>
                <w:highlight w:val="none"/>
                <w:lang w:val="en-US" w:eastAsia="zh-CN"/>
              </w:rPr>
              <w:t>本项目招标文件中所有带★号条款内容</w:t>
            </w:r>
          </w:p>
        </w:tc>
        <w:tc>
          <w:tcPr>
            <w:tcW w:w="2176" w:type="dxa"/>
            <w:vAlign w:val="center"/>
          </w:tcPr>
          <w:p>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完全响应</w:t>
            </w:r>
          </w:p>
        </w:tc>
        <w:tc>
          <w:tcPr>
            <w:tcW w:w="1732" w:type="dxa"/>
            <w:vAlign w:val="center"/>
          </w:tcPr>
          <w:p>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无偏离</w:t>
            </w:r>
          </w:p>
        </w:tc>
        <w:tc>
          <w:tcPr>
            <w:tcW w:w="992" w:type="dxa"/>
            <w:vAlign w:val="center"/>
          </w:tcPr>
          <w:p>
            <w:pPr>
              <w:spacing w:line="300" w:lineRule="auto"/>
              <w:jc w:val="center"/>
              <w:rPr>
                <w:rFonts w:hint="eastAsia" w:ascii="宋体" w:hAnsi="宋体" w:eastAsia="宋体" w:cs="Times New Roman"/>
                <w:b/>
                <w:color w:val="FF0000"/>
                <w:kern w:val="0"/>
                <w:szCs w:val="21"/>
                <w:highlight w:val="none"/>
                <w:lang w:val="en-US" w:eastAsia="zh-CN"/>
              </w:rPr>
            </w:pPr>
          </w:p>
        </w:tc>
      </w:tr>
    </w:tbl>
    <w:p>
      <w:pPr>
        <w:snapToGrid w:val="0"/>
        <w:rPr>
          <w:rFonts w:cs="Times New Roman" w:asciiTheme="minorEastAsia" w:hAnsiTheme="minorEastAsia"/>
          <w:sz w:val="24"/>
          <w:szCs w:val="24"/>
          <w:highlight w:val="none"/>
        </w:rPr>
      </w:pPr>
    </w:p>
    <w:p>
      <w:pPr>
        <w:snapToGrid w:val="0"/>
        <w:rPr>
          <w:rFonts w:cs="Times New Roman" w:asciiTheme="minorEastAsia" w:hAnsiTheme="minorEastAsia"/>
          <w:b/>
          <w:sz w:val="24"/>
          <w:szCs w:val="24"/>
          <w:highlight w:val="none"/>
        </w:rPr>
      </w:pPr>
      <w:r>
        <w:rPr>
          <w:rFonts w:hint="eastAsia" w:ascii="宋体" w:hAnsi="宋体" w:eastAsia="宋体" w:cs="Times New Roman"/>
          <w:b/>
          <w:sz w:val="24"/>
          <w:szCs w:val="24"/>
          <w:highlight w:val="none"/>
        </w:rPr>
        <w:t>填写说明：</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w:t>
      </w:r>
      <w:r>
        <w:rPr>
          <w:rFonts w:hint="eastAsia" w:ascii="宋体" w:hAnsi="宋体" w:cs="宋体"/>
          <w:bCs/>
          <w:sz w:val="24"/>
          <w:szCs w:val="24"/>
          <w:highlight w:val="none"/>
        </w:rPr>
        <w:t>上表所列各项均为不可负偏离条款。</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w:t>
      </w:r>
      <w:r>
        <w:rPr>
          <w:rFonts w:hint="eastAsia" w:ascii="宋体" w:hAnsi="宋体" w:cs="宋体"/>
          <w:bCs/>
          <w:sz w:val="24"/>
          <w:szCs w:val="24"/>
          <w:highlight w:val="none"/>
        </w:rPr>
        <w:t>“投标</w:t>
      </w:r>
      <w:r>
        <w:rPr>
          <w:rFonts w:hint="eastAsia" w:ascii="宋体" w:hAnsi="宋体" w:cs="宋体"/>
          <w:bCs/>
          <w:sz w:val="24"/>
          <w:szCs w:val="24"/>
          <w:highlight w:val="none"/>
          <w:lang w:val="en-US" w:eastAsia="zh-CN"/>
        </w:rPr>
        <w:t>文件</w:t>
      </w:r>
      <w:r>
        <w:rPr>
          <w:rFonts w:hint="eastAsia" w:ascii="宋体" w:hAnsi="宋体" w:cs="宋体"/>
          <w:bCs/>
          <w:sz w:val="24"/>
          <w:szCs w:val="24"/>
          <w:highlight w:val="none"/>
        </w:rPr>
        <w:t>响应”一栏应当详细填写投标人自身响应情况，而不能不合理照搬照抄招标文件实质性条款具体内容。</w:t>
      </w:r>
      <w:r>
        <w:rPr>
          <w:rFonts w:hint="eastAsia" w:ascii="宋体" w:hAnsi="宋体" w:cs="宋体"/>
          <w:b/>
          <w:bCs/>
          <w:color w:val="auto"/>
          <w:sz w:val="24"/>
          <w:szCs w:val="24"/>
          <w:highlight w:val="none"/>
        </w:rPr>
        <w:t>如完全满足实质性条款具体内容可填写“完全响应”，除招标文件另有注明外，不强制要求逐条列出响应。</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w:t>
      </w:r>
      <w:r>
        <w:rPr>
          <w:rFonts w:hint="eastAsia" w:ascii="宋体" w:hAnsi="宋体" w:cs="宋体"/>
          <w:bCs/>
          <w:sz w:val="24"/>
          <w:szCs w:val="24"/>
          <w:highlight w:val="none"/>
          <w:lang w:eastAsia="zh-CN"/>
        </w:rPr>
        <w:t>、</w:t>
      </w:r>
      <w:r>
        <w:rPr>
          <w:rFonts w:hint="eastAsia" w:ascii="宋体" w:hAnsi="宋体" w:cs="宋体"/>
          <w:bCs/>
          <w:sz w:val="24"/>
          <w:szCs w:val="24"/>
          <w:highlight w:val="none"/>
        </w:rPr>
        <w:t>“偏离情况”一栏应填写</w:t>
      </w:r>
      <w:r>
        <w:rPr>
          <w:rFonts w:hint="eastAsia" w:ascii="宋体" w:hAnsi="宋体" w:cs="宋体"/>
          <w:b w:val="0"/>
          <w:bCs w:val="0"/>
          <w:sz w:val="24"/>
          <w:szCs w:val="24"/>
          <w:highlight w:val="none"/>
        </w:rPr>
        <w:t>“</w:t>
      </w:r>
      <w:r>
        <w:rPr>
          <w:rFonts w:hint="eastAsia" w:ascii="宋体" w:hAnsi="宋体" w:cs="宋体"/>
          <w:b/>
          <w:bCs/>
          <w:sz w:val="24"/>
          <w:szCs w:val="24"/>
          <w:highlight w:val="none"/>
        </w:rPr>
        <w:t>正偏离</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或</w:t>
      </w:r>
      <w:r>
        <w:rPr>
          <w:rFonts w:hint="eastAsia" w:ascii="宋体" w:hAnsi="宋体" w:cs="宋体"/>
          <w:b w:val="0"/>
          <w:bCs w:val="0"/>
          <w:sz w:val="24"/>
          <w:szCs w:val="24"/>
          <w:highlight w:val="none"/>
        </w:rPr>
        <w:t>“</w:t>
      </w:r>
      <w:r>
        <w:rPr>
          <w:rFonts w:hint="eastAsia" w:ascii="宋体" w:hAnsi="宋体" w:cs="宋体"/>
          <w:b/>
          <w:bCs/>
          <w:sz w:val="24"/>
          <w:szCs w:val="24"/>
          <w:highlight w:val="none"/>
        </w:rPr>
        <w:t>负偏离</w:t>
      </w:r>
      <w:r>
        <w:rPr>
          <w:rFonts w:hint="eastAsia" w:ascii="宋体" w:hAnsi="宋体" w:cs="宋体"/>
          <w:b w:val="0"/>
          <w:bCs w:val="0"/>
          <w:sz w:val="24"/>
          <w:szCs w:val="24"/>
          <w:highlight w:val="none"/>
        </w:rPr>
        <w:t>”或“</w:t>
      </w:r>
      <w:r>
        <w:rPr>
          <w:rFonts w:hint="eastAsia" w:ascii="宋体" w:hAnsi="宋体" w:cs="宋体"/>
          <w:b/>
          <w:bCs/>
          <w:sz w:val="24"/>
          <w:szCs w:val="24"/>
          <w:highlight w:val="none"/>
        </w:rPr>
        <w:t>无偏离</w:t>
      </w:r>
      <w:r>
        <w:rPr>
          <w:rFonts w:hint="eastAsia" w:ascii="宋体" w:hAnsi="宋体" w:cs="宋体"/>
          <w:b w:val="0"/>
          <w:bCs w:val="0"/>
          <w:sz w:val="24"/>
          <w:szCs w:val="24"/>
          <w:highlight w:val="none"/>
        </w:rPr>
        <w:t>”</w:t>
      </w:r>
      <w:r>
        <w:rPr>
          <w:rFonts w:hint="eastAsia" w:ascii="宋体" w:hAnsi="宋体" w:cs="宋体"/>
          <w:bCs/>
          <w:sz w:val="24"/>
          <w:szCs w:val="24"/>
          <w:highlight w:val="none"/>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eastAsia="zh-CN"/>
        </w:rPr>
        <w:t>、</w:t>
      </w:r>
      <w:r>
        <w:rPr>
          <w:rFonts w:hint="eastAsia" w:ascii="宋体" w:hAnsi="宋体" w:cs="宋体"/>
          <w:bCs/>
          <w:sz w:val="24"/>
          <w:szCs w:val="24"/>
          <w:highlight w:val="none"/>
        </w:rPr>
        <w:t>评审委员会有权对投标响应情况作出判断。</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5</w:t>
      </w:r>
      <w:r>
        <w:rPr>
          <w:rFonts w:hint="eastAsia" w:ascii="宋体" w:hAnsi="宋体" w:cs="宋体"/>
          <w:bCs/>
          <w:sz w:val="24"/>
          <w:szCs w:val="24"/>
          <w:highlight w:val="none"/>
          <w:lang w:eastAsia="zh-CN"/>
        </w:rPr>
        <w:t>、</w:t>
      </w:r>
      <w:r>
        <w:rPr>
          <w:rFonts w:hint="eastAsia" w:ascii="宋体" w:hAnsi="宋体" w:cs="宋体"/>
          <w:bCs/>
          <w:sz w:val="24"/>
          <w:szCs w:val="24"/>
          <w:highlight w:val="none"/>
        </w:rPr>
        <w:t>实质性响应条款“投标响应情况”与投标文件其它内容冲突的，以实质性响应条款“投标响应情况”为准。</w:t>
      </w:r>
    </w:p>
    <w:p>
      <w:pPr>
        <w:spacing w:line="276"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6</w:t>
      </w:r>
      <w:r>
        <w:rPr>
          <w:rFonts w:hint="eastAsia" w:ascii="宋体" w:hAnsi="宋体" w:cs="宋体"/>
          <w:bCs/>
          <w:sz w:val="24"/>
          <w:szCs w:val="24"/>
          <w:highlight w:val="none"/>
          <w:lang w:eastAsia="zh-CN"/>
        </w:rPr>
        <w:t>、</w:t>
      </w:r>
      <w:r>
        <w:rPr>
          <w:rFonts w:hint="eastAsia" w:ascii="宋体" w:hAnsi="宋体" w:cs="宋体"/>
          <w:bCs/>
          <w:sz w:val="24"/>
          <w:szCs w:val="24"/>
          <w:highlight w:val="none"/>
        </w:rPr>
        <w:t>以上实质性条款中要求提供证明材料，需如实提供证明材料扫描件，在“说明”一栏中列明证明材料的位置，以便评审；未要求提供证明材料的，投标人可以不提供。</w:t>
      </w:r>
    </w:p>
    <w:p>
      <w:pPr>
        <w:rPr>
          <w:rFonts w:ascii="宋体" w:hAnsi="宋体" w:eastAsia="宋体" w:cs="Times New Roman"/>
          <w:color w:val="FF0000"/>
          <w:sz w:val="32"/>
          <w:szCs w:val="32"/>
          <w:highlight w:val="none"/>
        </w:rPr>
      </w:pPr>
      <w:r>
        <w:rPr>
          <w:rFonts w:hint="eastAsia" w:ascii="宋体" w:hAnsi="宋体" w:eastAsia="宋体" w:cs="Times New Roman"/>
          <w:b/>
          <w:bCs/>
          <w:kern w:val="0"/>
          <w:sz w:val="24"/>
          <w:szCs w:val="20"/>
          <w:highlight w:val="none"/>
          <w:lang w:val="en-US" w:eastAsia="zh-CN"/>
        </w:rPr>
        <w:br w:type="page"/>
      </w:r>
    </w:p>
    <w:p>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lang w:val="en-US" w:eastAsia="zh-CN"/>
        </w:rPr>
        <w:t>5</w:t>
      </w:r>
      <w:r>
        <w:rPr>
          <w:rFonts w:hint="eastAsia" w:ascii="宋体" w:hAnsi="宋体" w:eastAsia="宋体" w:cs="Times New Roman"/>
          <w:b/>
          <w:bCs/>
          <w:kern w:val="0"/>
          <w:sz w:val="24"/>
          <w:szCs w:val="20"/>
          <w:highlight w:val="none"/>
        </w:rPr>
        <w:t>.技术</w:t>
      </w:r>
      <w:r>
        <w:rPr>
          <w:rFonts w:hint="eastAsia" w:ascii="宋体" w:hAnsi="宋体" w:eastAsia="宋体" w:cs="Times New Roman"/>
          <w:b/>
          <w:bCs/>
          <w:kern w:val="0"/>
          <w:sz w:val="24"/>
          <w:szCs w:val="20"/>
          <w:highlight w:val="none"/>
          <w:lang w:val="en-US" w:eastAsia="zh-CN"/>
        </w:rPr>
        <w:t>要求</w:t>
      </w:r>
      <w:r>
        <w:rPr>
          <w:rFonts w:hint="eastAsia" w:ascii="宋体" w:hAnsi="宋体" w:eastAsia="宋体" w:cs="Times New Roman"/>
          <w:b/>
          <w:bCs/>
          <w:kern w:val="0"/>
          <w:sz w:val="24"/>
          <w:szCs w:val="20"/>
          <w:highlight w:val="none"/>
        </w:rPr>
        <w:t>偏离表</w:t>
      </w:r>
    </w:p>
    <w:p>
      <w:pPr>
        <w:snapToGrid w:val="0"/>
        <w:rPr>
          <w:rFonts w:ascii="Arial" w:hAnsi="Arial" w:eastAsia="宋体" w:cs="Arial"/>
          <w:color w:val="000000"/>
          <w:sz w:val="24"/>
          <w:szCs w:val="24"/>
          <w:highlight w:val="none"/>
          <w:u w:val="single"/>
        </w:rPr>
      </w:pPr>
      <w:r>
        <w:rPr>
          <w:rFonts w:hint="eastAsia" w:ascii="Arial" w:hAnsi="Arial" w:eastAsia="宋体" w:cs="Arial"/>
          <w:color w:val="000000"/>
          <w:sz w:val="24"/>
          <w:szCs w:val="24"/>
          <w:highlight w:val="none"/>
        </w:rPr>
        <w:t>投标单位（投标人）名称：</w:t>
      </w:r>
      <w:r>
        <w:rPr>
          <w:rFonts w:ascii="Arial" w:hAnsi="Arial" w:eastAsia="宋体" w:cs="Arial"/>
          <w:color w:val="000000"/>
          <w:sz w:val="24"/>
          <w:szCs w:val="24"/>
          <w:highlight w:val="none"/>
          <w:u w:val="single"/>
        </w:rPr>
        <w:t xml:space="preserve">                         </w:t>
      </w:r>
    </w:p>
    <w:p>
      <w:pPr>
        <w:snapToGrid w:val="0"/>
        <w:rPr>
          <w:rFonts w:cs="Times New Roman" w:asciiTheme="minorEastAsia" w:hAnsiTheme="minorEastAsia"/>
          <w:sz w:val="24"/>
          <w:szCs w:val="24"/>
          <w:highlight w:val="none"/>
        </w:rPr>
      </w:pPr>
    </w:p>
    <w:tbl>
      <w:tblPr>
        <w:tblStyle w:val="16"/>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559"/>
        <w:gridCol w:w="2220"/>
        <w:gridCol w:w="2268"/>
        <w:gridCol w:w="1134"/>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cs="Times New Roman" w:asciiTheme="minorEastAsia" w:hAnsiTheme="minorEastAsia"/>
                <w:b/>
                <w:sz w:val="24"/>
                <w:szCs w:val="24"/>
                <w:highlight w:val="none"/>
              </w:rPr>
              <w:t>序号</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货物名称</w:t>
            </w:r>
          </w:p>
        </w:tc>
        <w:tc>
          <w:tcPr>
            <w:tcW w:w="2220"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招标技术要求</w:t>
            </w:r>
          </w:p>
        </w:tc>
        <w:tc>
          <w:tcPr>
            <w:tcW w:w="2268"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投标技术响应</w:t>
            </w: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偏离</w:t>
            </w:r>
          </w:p>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情况</w:t>
            </w:r>
          </w:p>
        </w:tc>
        <w:tc>
          <w:tcPr>
            <w:tcW w:w="1040"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1</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sz w:val="24"/>
                <w:szCs w:val="24"/>
                <w:highlight w:val="none"/>
                <w:lang w:val="en-US" w:eastAsia="zh-CN"/>
              </w:rPr>
              <w:t>2</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7"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cs="Times New Roman" w:asciiTheme="minorEastAsia" w:hAnsiTheme="minorEastAsia" w:eastAsiaTheme="minorEastAsia"/>
                <w:sz w:val="24"/>
                <w:szCs w:val="24"/>
                <w:highlight w:val="none"/>
                <w:lang w:eastAsia="zh-CN"/>
              </w:rPr>
            </w:pPr>
            <w:r>
              <w:rPr>
                <w:rFonts w:hint="eastAsia" w:cs="Times New Roman" w:asciiTheme="minorEastAsia" w:hAnsiTheme="minorEastAsia"/>
                <w:sz w:val="24"/>
                <w:szCs w:val="24"/>
                <w:highlight w:val="none"/>
                <w:lang w:eastAsia="zh-CN"/>
              </w:rPr>
              <w:t>……</w:t>
            </w:r>
          </w:p>
        </w:tc>
        <w:tc>
          <w:tcPr>
            <w:tcW w:w="1559" w:type="dxa"/>
            <w:tcBorders>
              <w:top w:val="double" w:color="auto" w:sz="4" w:space="0"/>
              <w:left w:val="double" w:color="auto" w:sz="4" w:space="0"/>
              <w:bottom w:val="double" w:color="auto" w:sz="4" w:space="0"/>
              <w:right w:val="double" w:color="auto" w:sz="4" w:space="0"/>
            </w:tcBorders>
            <w:vAlign w:val="center"/>
          </w:tcPr>
          <w:p>
            <w:pPr>
              <w:snapToGrid w:val="0"/>
              <w:jc w:val="center"/>
              <w:rPr>
                <w:rFonts w:cs="Times New Roman" w:asciiTheme="minorEastAsia" w:hAnsiTheme="minorEastAsia"/>
                <w:sz w:val="24"/>
                <w:szCs w:val="24"/>
                <w:highlight w:val="none"/>
              </w:rPr>
            </w:pPr>
          </w:p>
        </w:tc>
        <w:tc>
          <w:tcPr>
            <w:tcW w:w="222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2268"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134"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c>
          <w:tcPr>
            <w:tcW w:w="1040" w:type="dxa"/>
            <w:tcBorders>
              <w:top w:val="double" w:color="auto" w:sz="4" w:space="0"/>
              <w:left w:val="double" w:color="auto" w:sz="4" w:space="0"/>
              <w:bottom w:val="double" w:color="auto" w:sz="4" w:space="0"/>
              <w:right w:val="double" w:color="auto" w:sz="4" w:space="0"/>
            </w:tcBorders>
          </w:tcPr>
          <w:p>
            <w:pPr>
              <w:snapToGrid w:val="0"/>
              <w:jc w:val="center"/>
              <w:rPr>
                <w:rFonts w:cs="Times New Roman" w:asciiTheme="minorEastAsia" w:hAnsiTheme="minorEastAsia"/>
                <w:sz w:val="24"/>
                <w:szCs w:val="24"/>
                <w:highlight w:val="none"/>
              </w:rPr>
            </w:pPr>
          </w:p>
        </w:tc>
      </w:tr>
    </w:tbl>
    <w:p>
      <w:pPr>
        <w:snapToGrid w:val="0"/>
        <w:rPr>
          <w:rFonts w:cs="Times New Roman" w:asciiTheme="minorEastAsia" w:hAnsiTheme="minorEastAsia"/>
          <w:sz w:val="24"/>
          <w:szCs w:val="24"/>
          <w:highlight w:val="none"/>
        </w:rPr>
      </w:pPr>
    </w:p>
    <w:p>
      <w:pPr>
        <w:snapToGrid w:val="0"/>
        <w:rPr>
          <w:rFonts w:hint="eastAsia" w:cs="Times New Roman" w:asciiTheme="minorEastAsia" w:hAnsiTheme="minorEastAsia"/>
          <w:b/>
          <w:sz w:val="24"/>
          <w:szCs w:val="24"/>
          <w:highlight w:val="none"/>
        </w:rPr>
      </w:pPr>
      <w:r>
        <w:rPr>
          <w:rFonts w:hint="eastAsia" w:cs="Times New Roman" w:asciiTheme="minorEastAsia" w:hAnsiTheme="minorEastAsia"/>
          <w:b/>
          <w:sz w:val="24"/>
          <w:szCs w:val="24"/>
          <w:highlight w:val="none"/>
        </w:rPr>
        <w:t>填写说明：</w:t>
      </w:r>
    </w:p>
    <w:p>
      <w:pPr>
        <w:ind w:firstLine="482" w:firstLineChars="200"/>
        <w:rPr>
          <w:b/>
          <w:sz w:val="24"/>
          <w:highlight w:val="none"/>
        </w:rPr>
      </w:pPr>
      <w:r>
        <w:rPr>
          <w:rFonts w:hint="eastAsia"/>
          <w:b/>
          <w:sz w:val="24"/>
          <w:highlight w:val="none"/>
        </w:rPr>
        <w:t>1、技术要求偏离表的序号、货物名称、招标技术要求等栏目</w:t>
      </w:r>
      <w:bookmarkStart w:id="32" w:name="_Hlk72094407"/>
      <w:r>
        <w:rPr>
          <w:rFonts w:hint="eastAsia"/>
          <w:b/>
          <w:sz w:val="24"/>
          <w:highlight w:val="none"/>
        </w:rPr>
        <w:t>对应“用户需求书”中的“技术要求</w:t>
      </w:r>
      <w:r>
        <w:rPr>
          <w:rFonts w:hint="eastAsia"/>
          <w:b/>
          <w:sz w:val="24"/>
          <w:highlight w:val="none"/>
          <w:lang w:val="en-US" w:eastAsia="zh-CN"/>
        </w:rPr>
        <w:t>部分</w:t>
      </w:r>
      <w:r>
        <w:rPr>
          <w:rFonts w:hint="eastAsia"/>
          <w:b/>
          <w:sz w:val="24"/>
          <w:highlight w:val="none"/>
        </w:rPr>
        <w:t>”章节</w:t>
      </w:r>
      <w:bookmarkEnd w:id="32"/>
      <w:r>
        <w:rPr>
          <w:rFonts w:hint="eastAsia"/>
          <w:b/>
          <w:sz w:val="24"/>
          <w:highlight w:val="none"/>
        </w:rPr>
        <w:t>相关内容。</w:t>
      </w:r>
    </w:p>
    <w:p>
      <w:pPr>
        <w:ind w:firstLine="482" w:firstLineChars="200"/>
        <w:rPr>
          <w:b/>
          <w:sz w:val="24"/>
          <w:highlight w:val="none"/>
        </w:rPr>
      </w:pPr>
      <w:r>
        <w:rPr>
          <w:b/>
          <w:sz w:val="24"/>
          <w:highlight w:val="none"/>
        </w:rPr>
        <w:t>2</w:t>
      </w:r>
      <w:r>
        <w:rPr>
          <w:rFonts w:hint="eastAsia"/>
          <w:b/>
          <w:sz w:val="24"/>
          <w:highlight w:val="none"/>
        </w:rPr>
        <w:t>、“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ind w:firstLine="482" w:firstLineChars="200"/>
        <w:rPr>
          <w:b/>
          <w:sz w:val="24"/>
          <w:highlight w:val="none"/>
        </w:rPr>
      </w:pPr>
      <w:r>
        <w:rPr>
          <w:b/>
          <w:sz w:val="24"/>
          <w:highlight w:val="none"/>
        </w:rPr>
        <w:t>3</w:t>
      </w:r>
      <w:r>
        <w:rPr>
          <w:rFonts w:hint="eastAsia"/>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ind w:firstLine="482" w:firstLineChars="200"/>
        <w:rPr>
          <w:b/>
          <w:sz w:val="24"/>
          <w:highlight w:val="none"/>
        </w:rPr>
      </w:pPr>
      <w:r>
        <w:rPr>
          <w:b/>
          <w:sz w:val="24"/>
          <w:highlight w:val="none"/>
        </w:rPr>
        <w:t>4</w:t>
      </w:r>
      <w:r>
        <w:rPr>
          <w:rFonts w:hint="eastAsia"/>
          <w:b/>
          <w:sz w:val="24"/>
          <w:highlight w:val="none"/>
        </w:rPr>
        <w:t>、未要求提供证明资料的招标技术要求，可以不提供证明资料（如实响应即可）。</w:t>
      </w:r>
    </w:p>
    <w:p>
      <w:pPr>
        <w:ind w:firstLine="482" w:firstLineChars="200"/>
        <w:rPr>
          <w:rFonts w:hint="eastAsia"/>
          <w:b/>
          <w:sz w:val="24"/>
          <w:highlight w:val="none"/>
        </w:rPr>
      </w:pPr>
      <w:r>
        <w:rPr>
          <w:rFonts w:hint="eastAsia"/>
          <w:b/>
          <w:sz w:val="24"/>
          <w:highlight w:val="none"/>
        </w:rPr>
        <w:t>5、</w:t>
      </w:r>
      <w:bookmarkStart w:id="33" w:name="_Hlk72096106"/>
      <w:r>
        <w:rPr>
          <w:rFonts w:hint="eastAsia"/>
          <w:b/>
          <w:sz w:val="24"/>
          <w:highlight w:val="none"/>
        </w:rPr>
        <w:t>证明资料条款响应要求</w:t>
      </w:r>
      <w:bookmarkEnd w:id="33"/>
      <w:r>
        <w:rPr>
          <w:rFonts w:hint="eastAsia"/>
          <w:b/>
          <w:sz w:val="24"/>
          <w:highlight w:val="none"/>
        </w:rPr>
        <w:t>：要求提供证明资料（且已对证明资料的形式、内容作出明确要求）进行响应的条款，应当在“说明”一栏中列明是否提供了符合要求的证明资料，以及所提供证明资料在</w:t>
      </w:r>
      <w:r>
        <w:rPr>
          <w:rFonts w:hint="eastAsia"/>
          <w:b/>
          <w:sz w:val="24"/>
          <w:highlight w:val="none"/>
          <w:lang w:val="en-US" w:eastAsia="zh-CN"/>
        </w:rPr>
        <w:t>投标文件的所在节点（</w:t>
      </w:r>
      <w:r>
        <w:rPr>
          <w:rFonts w:hint="eastAsia"/>
          <w:b/>
          <w:sz w:val="24"/>
          <w:highlight w:val="none"/>
        </w:rPr>
        <w:t>位置</w:t>
      </w:r>
      <w:r>
        <w:rPr>
          <w:rFonts w:hint="eastAsia"/>
          <w:b/>
          <w:sz w:val="24"/>
          <w:highlight w:val="none"/>
          <w:lang w:val="en-US" w:eastAsia="zh-CN"/>
        </w:rPr>
        <w:t>）</w:t>
      </w:r>
      <w:r>
        <w:rPr>
          <w:rFonts w:hint="eastAsia"/>
          <w:b/>
          <w:sz w:val="24"/>
          <w:highlight w:val="none"/>
          <w:lang w:eastAsia="zh-CN"/>
        </w:rPr>
        <w:t>，</w:t>
      </w:r>
      <w:r>
        <w:rPr>
          <w:rFonts w:hint="eastAsia"/>
          <w:b/>
          <w:sz w:val="24"/>
          <w:highlight w:val="none"/>
        </w:rPr>
        <w:t>以便评审；</w:t>
      </w:r>
      <w:bookmarkStart w:id="34" w:name="_Hlk73558782"/>
      <w:r>
        <w:rPr>
          <w:rFonts w:hint="eastAsia"/>
          <w:b/>
          <w:sz w:val="24"/>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5" w:name="_Hlk73558164"/>
      <w:r>
        <w:rPr>
          <w:rFonts w:hint="eastAsia"/>
          <w:b/>
          <w:sz w:val="24"/>
          <w:highlight w:val="none"/>
        </w:rPr>
        <w:t>且投标人在“偏离情况”一栏响应为“正偏离”或“无偏离”的，经评审委员会认定，将判定为负偏离。</w:t>
      </w:r>
      <w:bookmarkEnd w:id="34"/>
      <w:bookmarkEnd w:id="35"/>
    </w:p>
    <w:p>
      <w:pPr>
        <w:pStyle w:val="9"/>
        <w:rPr>
          <w:rFonts w:hint="default" w:eastAsiaTheme="minorEastAsia"/>
          <w:highlight w:val="none"/>
          <w:lang w:val="en-US" w:eastAsia="zh-CN"/>
        </w:rPr>
      </w:pPr>
      <w:r>
        <w:rPr>
          <w:rFonts w:hint="eastAsia"/>
          <w:b/>
          <w:sz w:val="24"/>
          <w:highlight w:val="none"/>
          <w:lang w:val="en-US" w:eastAsia="zh-CN"/>
        </w:rPr>
        <w:t xml:space="preserve">    6、投标人提供的证明资料，均要求原件备查。</w:t>
      </w:r>
    </w:p>
    <w:p>
      <w:pPr>
        <w:ind w:firstLine="482" w:firstLineChars="200"/>
        <w:rPr>
          <w:rFonts w:hint="eastAsia"/>
          <w:b/>
          <w:sz w:val="24"/>
          <w:highlight w:val="none"/>
        </w:rPr>
      </w:pPr>
      <w:r>
        <w:rPr>
          <w:rFonts w:hint="eastAsia"/>
          <w:b/>
          <w:sz w:val="24"/>
          <w:highlight w:val="none"/>
          <w:lang w:val="en-US" w:eastAsia="zh-CN"/>
        </w:rPr>
        <w:t>7、</w:t>
      </w:r>
      <w:r>
        <w:rPr>
          <w:rFonts w:hint="eastAsia"/>
          <w:b/>
          <w:sz w:val="24"/>
          <w:highlight w:val="none"/>
        </w:rPr>
        <w:t>评审委员会有权对投标人是否存在虚假响应予以认定，并视情况经</w:t>
      </w:r>
      <w:r>
        <w:rPr>
          <w:rFonts w:hint="eastAsia"/>
          <w:b/>
          <w:sz w:val="24"/>
          <w:highlight w:val="none"/>
          <w:lang w:val="en-US" w:eastAsia="zh-CN"/>
        </w:rPr>
        <w:t>招标</w:t>
      </w:r>
      <w:r>
        <w:rPr>
          <w:rFonts w:hint="eastAsia"/>
          <w:b/>
          <w:sz w:val="24"/>
          <w:highlight w:val="none"/>
        </w:rPr>
        <w:t>机构报主管部门进行处理；</w:t>
      </w:r>
    </w:p>
    <w:p>
      <w:pPr>
        <w:ind w:firstLine="482" w:firstLineChars="200"/>
        <w:rPr>
          <w:rFonts w:hint="eastAsia"/>
          <w:b/>
          <w:sz w:val="24"/>
          <w:highlight w:val="none"/>
        </w:rPr>
      </w:pPr>
      <w:r>
        <w:rPr>
          <w:rFonts w:hint="eastAsia"/>
          <w:b/>
          <w:sz w:val="24"/>
          <w:highlight w:val="none"/>
          <w:lang w:val="en-US" w:eastAsia="zh-CN"/>
        </w:rPr>
        <w:t>8、</w:t>
      </w:r>
      <w:r>
        <w:rPr>
          <w:rFonts w:hint="eastAsia"/>
          <w:b/>
          <w:sz w:val="24"/>
          <w:highlight w:val="none"/>
        </w:rPr>
        <w:t>除招标文件另有注明外，投标文件其它位置如出现与本表中投标参数不一致的信息，均以本表信息为准。</w:t>
      </w:r>
    </w:p>
    <w:p>
      <w:pPr>
        <w:ind w:firstLine="482" w:firstLineChars="200"/>
        <w:rPr>
          <w:rFonts w:hint="eastAsia"/>
          <w:b/>
          <w:sz w:val="24"/>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3"/>
        <w:rPr>
          <w:rFonts w:ascii="黑体" w:hAnsi="宋体" w:eastAsia="黑体"/>
          <w:kern w:val="0"/>
          <w:sz w:val="24"/>
          <w:szCs w:val="20"/>
          <w:highlight w:val="none"/>
        </w:rPr>
      </w:pPr>
      <w:r>
        <w:rPr>
          <w:rFonts w:ascii="宋体" w:hAnsi="宋体" w:eastAsia="宋体" w:cs="Times New Roman"/>
          <w:color w:val="FF0000"/>
          <w:sz w:val="32"/>
          <w:szCs w:val="32"/>
          <w:highlight w:val="none"/>
        </w:rPr>
        <w:br w:type="page"/>
      </w:r>
      <w:r>
        <w:rPr>
          <w:rFonts w:hint="eastAsia" w:ascii="宋体" w:hAnsi="宋体" w:eastAsia="宋体" w:cs="Times New Roman"/>
          <w:b/>
          <w:bCs/>
          <w:kern w:val="0"/>
          <w:sz w:val="24"/>
          <w:szCs w:val="20"/>
          <w:highlight w:val="none"/>
          <w:lang w:val="en-US" w:eastAsia="zh-CN"/>
        </w:rPr>
        <w:t>6.</w:t>
      </w:r>
      <w:r>
        <w:rPr>
          <w:rFonts w:hint="eastAsia" w:ascii="宋体" w:hAnsi="宋体" w:eastAsia="宋体" w:cs="Times New Roman"/>
          <w:b/>
          <w:bCs/>
          <w:kern w:val="0"/>
          <w:sz w:val="24"/>
          <w:szCs w:val="20"/>
          <w:highlight w:val="none"/>
        </w:rPr>
        <w:t>政府采购违法行为风险知悉确认书</w:t>
      </w:r>
    </w:p>
    <w:p>
      <w:pPr>
        <w:widowControl/>
        <w:jc w:val="center"/>
        <w:rPr>
          <w:rFonts w:ascii="黑体" w:hAnsi="宋体" w:eastAsia="黑体"/>
          <w:kern w:val="0"/>
          <w:sz w:val="24"/>
          <w:szCs w:val="20"/>
          <w:highlight w:val="none"/>
        </w:rPr>
      </w:pPr>
    </w:p>
    <w:p>
      <w:pPr>
        <w:ind w:firstLine="420" w:firstLineChars="200"/>
        <w:rPr>
          <w:highlight w:val="none"/>
        </w:rPr>
      </w:pPr>
      <w:r>
        <w:rPr>
          <w:rFonts w:hint="eastAsia"/>
          <w:highlight w:val="none"/>
        </w:rPr>
        <w:t>本公司在投标前已充分知悉以下情形为参与政府采购活动时的重大风险事项，并承诺已对下述风险提示事项重点排查，做到严谨、诚信、依法依规参与政府采购活动。</w:t>
      </w:r>
    </w:p>
    <w:p>
      <w:pPr>
        <w:ind w:firstLine="422" w:firstLineChars="200"/>
        <w:rPr>
          <w:b/>
          <w:highlight w:val="none"/>
        </w:rPr>
      </w:pPr>
      <w:r>
        <w:rPr>
          <w:rFonts w:hint="eastAsia"/>
          <w:b/>
          <w:highlight w:val="none"/>
        </w:rPr>
        <w:t>一、本公司已充分知悉“隐瞒真实情况，提供虚假资料”的法定情形，相关情形包括但不限于：</w:t>
      </w:r>
    </w:p>
    <w:p>
      <w:pPr>
        <w:ind w:firstLine="420" w:firstLineChars="200"/>
        <w:rPr>
          <w:highlight w:val="none"/>
        </w:rPr>
      </w:pPr>
      <w:r>
        <w:rPr>
          <w:rFonts w:hint="eastAsia"/>
          <w:highlight w:val="none"/>
        </w:rPr>
        <w:t>（一）通过转让或者租借等方式从其他单位获取资格或者资质证书投标的。</w:t>
      </w:r>
    </w:p>
    <w:p>
      <w:pPr>
        <w:ind w:firstLine="420" w:firstLineChars="200"/>
        <w:rPr>
          <w:highlight w:val="none"/>
        </w:rPr>
      </w:pPr>
      <w:r>
        <w:rPr>
          <w:rFonts w:hint="eastAsia"/>
          <w:highlight w:val="none"/>
        </w:rPr>
        <w:t>（二）由其他单位或者其他单位负责人在投标供应商编制的投标文件上加盖印章或者签字的。</w:t>
      </w:r>
    </w:p>
    <w:p>
      <w:pPr>
        <w:ind w:firstLine="420" w:firstLineChars="200"/>
        <w:rPr>
          <w:highlight w:val="none"/>
        </w:rPr>
      </w:pPr>
      <w:r>
        <w:rPr>
          <w:rFonts w:hint="eastAsia"/>
          <w:highlight w:val="none"/>
        </w:rPr>
        <w:t>（三）项目负责人或者主要技术人员不是本单位人员的。</w:t>
      </w:r>
    </w:p>
    <w:p>
      <w:pPr>
        <w:ind w:firstLine="420" w:firstLineChars="200"/>
        <w:rPr>
          <w:highlight w:val="none"/>
        </w:rPr>
      </w:pPr>
      <w:r>
        <w:rPr>
          <w:rFonts w:hint="eastAsia"/>
          <w:highlight w:val="none"/>
        </w:rPr>
        <w:t>（四）投标保证金不是从投标供应商基本账户转出的。</w:t>
      </w:r>
    </w:p>
    <w:p>
      <w:pPr>
        <w:ind w:firstLine="420" w:firstLineChars="200"/>
        <w:rPr>
          <w:highlight w:val="none"/>
        </w:rPr>
      </w:pPr>
      <w:r>
        <w:rPr>
          <w:rFonts w:hint="eastAsia"/>
          <w:highlight w:val="none"/>
        </w:rPr>
        <w:t>（五）其他隐瞒真实情况、提供虚假资料的行为。</w:t>
      </w:r>
    </w:p>
    <w:p>
      <w:pPr>
        <w:ind w:firstLine="422" w:firstLineChars="200"/>
        <w:rPr>
          <w:b/>
          <w:highlight w:val="none"/>
        </w:rPr>
      </w:pPr>
      <w:r>
        <w:rPr>
          <w:rFonts w:hint="eastAsia"/>
          <w:b/>
          <w:highlight w:val="none"/>
        </w:rPr>
        <w:t>二、本公司已充分知悉“与其他采购参加人串通投标”的法定情形，相关情形包括但不限于：</w:t>
      </w:r>
    </w:p>
    <w:p>
      <w:pPr>
        <w:ind w:firstLine="420" w:firstLineChars="200"/>
        <w:rPr>
          <w:highlight w:val="none"/>
        </w:rPr>
      </w:pPr>
      <w:r>
        <w:rPr>
          <w:rFonts w:hint="eastAsia"/>
          <w:highlight w:val="none"/>
        </w:rPr>
        <w:t>（一）投标供应商之间相互约定给予未中标的供应商利益补偿。</w:t>
      </w:r>
    </w:p>
    <w:p>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pPr>
        <w:ind w:firstLine="420" w:firstLineChars="200"/>
        <w:rPr>
          <w:highlight w:val="none"/>
        </w:rPr>
      </w:pPr>
      <w:r>
        <w:rPr>
          <w:rFonts w:hint="eastAsia"/>
          <w:highlight w:val="none"/>
        </w:rPr>
        <w:t>（三）不同投标供应商的投标文件由同一单位或者同一人编制，或者由同一人分阶段参与编制的。</w:t>
      </w:r>
    </w:p>
    <w:p>
      <w:pPr>
        <w:ind w:firstLine="420" w:firstLineChars="200"/>
        <w:rPr>
          <w:highlight w:val="none"/>
        </w:rPr>
      </w:pPr>
      <w:r>
        <w:rPr>
          <w:rFonts w:hint="eastAsia"/>
          <w:highlight w:val="none"/>
        </w:rPr>
        <w:t>（四）不同投标供应商的投标文件或部分投标文件相互混装。</w:t>
      </w:r>
    </w:p>
    <w:p>
      <w:pPr>
        <w:ind w:firstLine="420" w:firstLineChars="200"/>
        <w:rPr>
          <w:highlight w:val="none"/>
        </w:rPr>
      </w:pPr>
      <w:r>
        <w:rPr>
          <w:rFonts w:hint="eastAsia"/>
          <w:highlight w:val="none"/>
        </w:rPr>
        <w:t>（五）不同投标供应商的投标文件内容存在非正常一致。</w:t>
      </w:r>
    </w:p>
    <w:p>
      <w:pPr>
        <w:ind w:firstLine="420" w:firstLineChars="200"/>
        <w:rPr>
          <w:highlight w:val="none"/>
        </w:rPr>
      </w:pPr>
      <w:r>
        <w:rPr>
          <w:rFonts w:hint="eastAsia"/>
          <w:highlight w:val="none"/>
        </w:rPr>
        <w:t>（六）由同一单位工作人员为两家以上（含两家）供应商进行同一项投标活动的。</w:t>
      </w:r>
    </w:p>
    <w:p>
      <w:pPr>
        <w:ind w:firstLine="420" w:firstLineChars="200"/>
        <w:rPr>
          <w:highlight w:val="none"/>
        </w:rPr>
      </w:pPr>
      <w:r>
        <w:rPr>
          <w:rFonts w:hint="eastAsia"/>
          <w:highlight w:val="none"/>
        </w:rPr>
        <w:t>（七）不同投标人的投标报价呈规律性差异。</w:t>
      </w:r>
    </w:p>
    <w:p>
      <w:pPr>
        <w:ind w:firstLine="420" w:firstLineChars="200"/>
        <w:rPr>
          <w:highlight w:val="none"/>
        </w:rPr>
      </w:pPr>
      <w:r>
        <w:rPr>
          <w:rFonts w:hint="eastAsia"/>
          <w:highlight w:val="none"/>
        </w:rPr>
        <w:t>（八）不同投标人的投标保证金从同一单位或者个人的账户转出。</w:t>
      </w:r>
    </w:p>
    <w:p>
      <w:pPr>
        <w:ind w:firstLine="420" w:firstLineChars="200"/>
        <w:rPr>
          <w:highlight w:val="none"/>
        </w:rPr>
      </w:pPr>
      <w:r>
        <w:rPr>
          <w:rFonts w:hint="eastAsia"/>
          <w:highlight w:val="none"/>
        </w:rPr>
        <w:t>（九）主管部门依照法律、法规认定的其他情形。</w:t>
      </w:r>
    </w:p>
    <w:p>
      <w:pPr>
        <w:ind w:firstLine="422" w:firstLineChars="200"/>
        <w:rPr>
          <w:b/>
          <w:highlight w:val="none"/>
        </w:rPr>
      </w:pPr>
      <w:r>
        <w:rPr>
          <w:rFonts w:hint="eastAsia"/>
          <w:b/>
          <w:highlight w:val="none"/>
        </w:rPr>
        <w:t>三、本公司已充分知悉下列情形所对应的法律风险，并在投标前已对相关风险事项进行排查。</w:t>
      </w:r>
    </w:p>
    <w:p>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highlight w:val="none"/>
        </w:rPr>
      </w:pPr>
      <w:r>
        <w:rPr>
          <w:rFonts w:hint="eastAsia"/>
          <w:highlight w:val="none"/>
        </w:rPr>
        <w:t>（三）对于涉及安全生产、特种作业、抢险救灾、防疫等政府采购项目，供应商实施提供虚假资料、串通投标等违法行为的，主管部门将依法从严处理。</w:t>
      </w:r>
    </w:p>
    <w:p>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highlight w:val="none"/>
        </w:rPr>
      </w:pPr>
      <w:r>
        <w:rPr>
          <w:rFonts w:hint="eastAsia"/>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rPr>
          <w:highlight w:val="none"/>
        </w:rPr>
      </w:pPr>
      <w:r>
        <w:rPr>
          <w:rFonts w:hint="eastAsia"/>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2" w:firstLineChars="200"/>
        <w:rPr>
          <w:b/>
          <w:highlight w:val="none"/>
        </w:rPr>
      </w:pPr>
      <w:r>
        <w:rPr>
          <w:rFonts w:hint="eastAsia"/>
          <w:b/>
          <w:highlight w:val="none"/>
        </w:rPr>
        <w:t>四、本公司已充分知悉政府采购违法、违规行为的法律后果。</w:t>
      </w:r>
    </w:p>
    <w:p>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highlight w:val="none"/>
        </w:rPr>
      </w:pPr>
      <w:r>
        <w:rPr>
          <w:rFonts w:hint="eastAsia"/>
          <w:highlight w:val="none"/>
        </w:rPr>
        <w:t>以下文字请投标供应商抄写并确认：“本公司已仔细阅读《政府采购违法行为风险知悉确认书》，充分知悉违法行为的法律后果，并承诺将严谨、诚信、依法依规参与政府采购活动”。</w:t>
      </w:r>
    </w:p>
    <w:tbl>
      <w:tblPr>
        <w:tblStyle w:val="3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highlight w:val="none"/>
              </w:rPr>
            </w:pPr>
          </w:p>
        </w:tc>
      </w:tr>
    </w:tbl>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widowControl/>
        <w:jc w:val="left"/>
        <w:rPr>
          <w:rFonts w:ascii="宋体" w:hAnsi="宋体" w:eastAsia="宋体" w:cs="Times New Roman"/>
          <w:color w:val="FF0000"/>
          <w:sz w:val="32"/>
          <w:szCs w:val="32"/>
          <w:highlight w:val="none"/>
        </w:rPr>
      </w:pPr>
    </w:p>
    <w:p>
      <w:pPr>
        <w:keepNext/>
        <w:keepLines/>
        <w:adjustRightInd w:val="0"/>
        <w:snapToGrid w:val="0"/>
        <w:spacing w:line="360" w:lineRule="auto"/>
        <w:jc w:val="center"/>
        <w:textAlignment w:val="baseline"/>
        <w:outlineLvl w:val="3"/>
        <w:rPr>
          <w:rFonts w:ascii="宋体" w:hAnsi="宋体" w:eastAsia="宋体" w:cs="Times New Roman"/>
          <w:kern w:val="0"/>
          <w:sz w:val="24"/>
          <w:szCs w:val="20"/>
          <w:highlight w:val="none"/>
        </w:rPr>
      </w:pPr>
      <w:r>
        <w:rPr>
          <w:rFonts w:hint="eastAsia" w:ascii="宋体" w:hAnsi="宋体" w:eastAsia="宋体" w:cs="Times New Roman"/>
          <w:b/>
          <w:bCs/>
          <w:kern w:val="0"/>
          <w:sz w:val="24"/>
          <w:szCs w:val="20"/>
          <w:highlight w:val="none"/>
          <w:lang w:val="en-US" w:eastAsia="zh-CN"/>
        </w:rPr>
        <w:t>7</w:t>
      </w:r>
      <w:r>
        <w:rPr>
          <w:rFonts w:hint="eastAsia" w:ascii="宋体" w:hAnsi="宋体" w:eastAsia="宋体" w:cs="Times New Roman"/>
          <w:b/>
          <w:bCs/>
          <w:kern w:val="0"/>
          <w:sz w:val="24"/>
          <w:szCs w:val="20"/>
          <w:highlight w:val="none"/>
        </w:rPr>
        <w:t>.人员情况表</w:t>
      </w:r>
    </w:p>
    <w:tbl>
      <w:tblPr>
        <w:tblStyle w:val="16"/>
        <w:tblW w:w="9088"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67"/>
        <w:gridCol w:w="1276"/>
        <w:gridCol w:w="1559"/>
        <w:gridCol w:w="2126"/>
        <w:gridCol w:w="326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7"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职务</w:t>
            </w:r>
          </w:p>
        </w:tc>
        <w:tc>
          <w:tcPr>
            <w:tcW w:w="1559"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姓名</w:t>
            </w:r>
          </w:p>
        </w:tc>
        <w:tc>
          <w:tcPr>
            <w:tcW w:w="2126"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相关证书</w:t>
            </w:r>
          </w:p>
        </w:tc>
        <w:tc>
          <w:tcPr>
            <w:tcW w:w="3260" w:type="dxa"/>
            <w:tcBorders>
              <w:top w:val="double" w:color="auto" w:sz="4" w:space="0"/>
              <w:left w:val="double" w:color="auto" w:sz="4" w:space="0"/>
              <w:bottom w:val="double" w:color="auto" w:sz="4" w:space="0"/>
              <w:right w:val="double" w:color="auto" w:sz="4" w:space="0"/>
            </w:tcBorders>
            <w:vAlign w:val="center"/>
          </w:tcPr>
          <w:p>
            <w:pPr>
              <w:spacing w:afterLines="25" w:line="300" w:lineRule="auto"/>
              <w:jc w:val="center"/>
              <w:rPr>
                <w:rFonts w:ascii="宋体" w:hAnsi="宋体" w:eastAsia="宋体" w:cs="Arial"/>
                <w:b/>
                <w:sz w:val="24"/>
                <w:szCs w:val="24"/>
                <w:highlight w:val="none"/>
              </w:rPr>
            </w:pPr>
            <w:r>
              <w:rPr>
                <w:rFonts w:hint="eastAsia" w:ascii="宋体" w:hAnsi="宋体" w:eastAsia="宋体" w:cs="Arial"/>
                <w:b/>
                <w:sz w:val="24"/>
                <w:szCs w:val="24"/>
                <w:highlight w:val="none"/>
              </w:rPr>
              <w:t>相关经验</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867"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27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1559"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2126"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c>
          <w:tcPr>
            <w:tcW w:w="3260" w:type="dxa"/>
            <w:tcBorders>
              <w:top w:val="double" w:color="auto" w:sz="4" w:space="0"/>
              <w:left w:val="double" w:color="auto" w:sz="4" w:space="0"/>
              <w:bottom w:val="double" w:color="auto" w:sz="4" w:space="0"/>
              <w:right w:val="double" w:color="auto" w:sz="4" w:space="0"/>
            </w:tcBorders>
          </w:tcPr>
          <w:p>
            <w:pPr>
              <w:spacing w:afterLines="25" w:line="300" w:lineRule="auto"/>
              <w:rPr>
                <w:rFonts w:ascii="宋体" w:hAnsi="宋体" w:eastAsia="宋体" w:cs="Arial"/>
                <w:sz w:val="24"/>
                <w:szCs w:val="24"/>
                <w:highlight w:val="none"/>
              </w:rPr>
            </w:pPr>
          </w:p>
        </w:tc>
      </w:tr>
    </w:tbl>
    <w:p>
      <w:pPr>
        <w:spacing w:afterLines="25" w:line="300" w:lineRule="auto"/>
        <w:rPr>
          <w:rFonts w:hint="eastAsia" w:ascii="Arial" w:hAnsi="Arial" w:eastAsia="宋体" w:cs="Times New Roman"/>
          <w:sz w:val="24"/>
          <w:szCs w:val="24"/>
          <w:highlight w:val="none"/>
        </w:rPr>
      </w:pPr>
      <w:r>
        <w:rPr>
          <w:rFonts w:hint="eastAsia" w:ascii="Arial" w:hAnsi="Arial" w:eastAsia="宋体" w:cs="Times New Roman"/>
          <w:sz w:val="24"/>
          <w:szCs w:val="24"/>
          <w:highlight w:val="none"/>
        </w:rPr>
        <w:t>此表格式可根据评分准则要求进行调整，并将要求提供的证明材料扫描件附后。</w:t>
      </w: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spacing w:afterLines="25" w:line="300" w:lineRule="auto"/>
        <w:jc w:val="center"/>
        <w:rPr>
          <w:rFonts w:hint="eastAsia" w:ascii="Arial" w:hAnsi="Arial" w:eastAsia="宋体" w:cs="Times New Roman"/>
          <w:b/>
          <w:sz w:val="24"/>
          <w:szCs w:val="24"/>
          <w:highlight w:val="none"/>
        </w:rPr>
      </w:pPr>
      <w:r>
        <w:rPr>
          <w:rFonts w:hint="eastAsia" w:ascii="Arial" w:hAnsi="Arial" w:eastAsia="宋体" w:cs="Times New Roman"/>
          <w:b/>
          <w:sz w:val="24"/>
          <w:szCs w:val="24"/>
          <w:highlight w:val="none"/>
        </w:rPr>
        <w:t>（本章未提供的招标要求的其他文件格式由供应商自拟）</w:t>
      </w:r>
    </w:p>
    <w:p>
      <w:pPr>
        <w:spacing w:afterLines="25" w:line="300" w:lineRule="auto"/>
        <w:rPr>
          <w:rFonts w:hint="eastAsia" w:ascii="Arial" w:hAnsi="Arial" w:eastAsia="宋体" w:cs="Times New Roman"/>
          <w:sz w:val="24"/>
          <w:szCs w:val="24"/>
          <w:highlight w:val="none"/>
        </w:rPr>
      </w:pPr>
    </w:p>
    <w:p>
      <w:pPr>
        <w:spacing w:afterLines="25" w:line="300" w:lineRule="auto"/>
        <w:rPr>
          <w:rFonts w:hint="eastAsia" w:ascii="Arial" w:hAnsi="Arial" w:eastAsia="宋体" w:cs="Times New Roman"/>
          <w:sz w:val="24"/>
          <w:szCs w:val="24"/>
          <w:highlight w:val="none"/>
        </w:rPr>
      </w:pPr>
    </w:p>
    <w:p>
      <w:pPr>
        <w:keepNext/>
        <w:keepLines/>
        <w:adjustRightInd w:val="0"/>
        <w:spacing w:before="260" w:after="260"/>
        <w:jc w:val="center"/>
        <w:textAlignment w:val="baseline"/>
        <w:outlineLvl w:val="1"/>
        <w:rPr>
          <w:rFonts w:ascii="宋体" w:hAnsi="宋体" w:eastAsia="宋体" w:cs="Times New Roman"/>
          <w:b/>
          <w:bCs/>
          <w:kern w:val="0"/>
          <w:sz w:val="28"/>
          <w:szCs w:val="28"/>
          <w:highlight w:val="none"/>
        </w:rPr>
      </w:pPr>
      <w:r>
        <w:rPr>
          <w:rFonts w:hint="eastAsia" w:ascii="宋体" w:hAnsi="宋体" w:eastAsia="宋体" w:cs="Times New Roman"/>
          <w:b/>
          <w:bCs/>
          <w:kern w:val="0"/>
          <w:sz w:val="28"/>
          <w:szCs w:val="28"/>
          <w:highlight w:val="none"/>
        </w:rPr>
        <w:t>第五章  合同条款及格式</w:t>
      </w:r>
    </w:p>
    <w:p>
      <w:pPr>
        <w:widowControl/>
        <w:jc w:val="center"/>
        <w:rPr>
          <w:rFonts w:ascii="宋体" w:hAnsi="宋体" w:eastAsia="黑体" w:cs="Times New Roman"/>
          <w:bCs/>
          <w:kern w:val="44"/>
          <w:sz w:val="28"/>
          <w:szCs w:val="44"/>
          <w:highlight w:val="none"/>
        </w:rPr>
      </w:pPr>
      <w:bookmarkStart w:id="36" w:name="_Hlk72574405"/>
      <w:r>
        <w:rPr>
          <w:rFonts w:hint="eastAsia"/>
          <w:b/>
          <w:sz w:val="24"/>
          <w:highlight w:val="none"/>
        </w:rPr>
        <w:t>（仅供参考，具体以项目需求及采购结果为准）</w:t>
      </w:r>
      <w:bookmarkEnd w:id="36"/>
    </w:p>
    <w:p>
      <w:pPr>
        <w:snapToGrid w:val="0"/>
        <w:spacing w:line="300" w:lineRule="auto"/>
        <w:jc w:val="center"/>
        <w:rPr>
          <w:rFonts w:ascii="仿宋" w:hAnsi="仿宋" w:eastAsia="仿宋" w:cs="Times New Roman"/>
          <w:sz w:val="28"/>
          <w:szCs w:val="28"/>
          <w:highlight w:val="none"/>
        </w:rPr>
      </w:pPr>
    </w:p>
    <w:p>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（试行）</w:t>
      </w:r>
    </w:p>
    <w:p>
      <w:pPr>
        <w:rPr>
          <w:rFonts w:ascii="宋体" w:hAnsi="宋体" w:eastAsia="宋体" w:cs="宋体"/>
          <w:b/>
          <w:bCs/>
          <w:spacing w:val="-20"/>
          <w:kern w:val="44"/>
          <w:sz w:val="40"/>
          <w:szCs w:val="40"/>
          <w:highlight w:val="none"/>
        </w:rPr>
      </w:pPr>
    </w:p>
    <w:p>
      <w:pPr>
        <w:rPr>
          <w:rFonts w:ascii="宋体" w:hAnsi="宋体" w:eastAsia="宋体" w:cs="宋体"/>
          <w:b/>
          <w:bCs/>
          <w:spacing w:val="-20"/>
          <w:kern w:val="44"/>
          <w:sz w:val="40"/>
          <w:szCs w:val="40"/>
          <w:highlight w:val="none"/>
        </w:rPr>
      </w:pPr>
    </w:p>
    <w:p>
      <w:pPr>
        <w:rPr>
          <w:rFonts w:ascii="宋体" w:hAnsi="宋体" w:eastAsia="宋体" w:cs="宋体"/>
          <w:b/>
          <w:bCs/>
          <w:spacing w:val="-20"/>
          <w:kern w:val="44"/>
          <w:sz w:val="40"/>
          <w:szCs w:val="40"/>
          <w:highlight w:val="none"/>
        </w:rPr>
      </w:pPr>
    </w:p>
    <w:p>
      <w:pPr>
        <w:spacing w:line="360" w:lineRule="auto"/>
        <w:ind w:left="420" w:leftChars="200"/>
        <w:rPr>
          <w:rFonts w:eastAsia="宋体"/>
          <w:sz w:val="32"/>
          <w:szCs w:val="32"/>
          <w:highlight w:val="none"/>
        </w:rPr>
      </w:pPr>
      <w:r>
        <w:rPr>
          <w:rFonts w:hint="eastAsia" w:ascii="宋体" w:hAnsi="宋体" w:eastAsia="宋体" w:cs="宋体"/>
          <w:kern w:val="0"/>
          <w:sz w:val="32"/>
          <w:szCs w:val="32"/>
          <w:highlight w:val="none"/>
        </w:rPr>
        <w:t>项目名称：</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u w:val="single"/>
        </w:rPr>
      </w:pPr>
      <w:r>
        <w:rPr>
          <w:rFonts w:hint="eastAsia" w:eastAsia="宋体"/>
          <w:sz w:val="32"/>
          <w:szCs w:val="32"/>
          <w:highlight w:val="none"/>
        </w:rPr>
        <w:t>合同编号：</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rPr>
      </w:pPr>
      <w:r>
        <w:rPr>
          <w:rFonts w:hint="eastAsia" w:eastAsia="宋体"/>
          <w:sz w:val="32"/>
          <w:szCs w:val="32"/>
          <w:highlight w:val="none"/>
        </w:rPr>
        <w:t>甲    方：</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u w:val="single"/>
        </w:rPr>
      </w:pPr>
      <w:r>
        <w:rPr>
          <w:rFonts w:hint="eastAsia" w:eastAsia="宋体"/>
          <w:sz w:val="32"/>
          <w:szCs w:val="32"/>
          <w:highlight w:val="none"/>
        </w:rPr>
        <w:t>乙    方：</w:t>
      </w:r>
      <w:r>
        <w:rPr>
          <w:rFonts w:hint="eastAsia" w:eastAsia="宋体"/>
          <w:sz w:val="32"/>
          <w:szCs w:val="32"/>
          <w:highlight w:val="none"/>
          <w:u w:val="single"/>
        </w:rPr>
        <w:t xml:space="preserve">                             </w:t>
      </w:r>
    </w:p>
    <w:p>
      <w:pPr>
        <w:spacing w:line="360" w:lineRule="auto"/>
        <w:ind w:left="420" w:leftChars="200"/>
        <w:rPr>
          <w:rFonts w:eastAsia="宋体"/>
          <w:sz w:val="32"/>
          <w:szCs w:val="32"/>
          <w:highlight w:val="none"/>
        </w:rPr>
      </w:pPr>
      <w:r>
        <w:rPr>
          <w:rFonts w:hint="eastAsia" w:eastAsia="宋体"/>
          <w:sz w:val="32"/>
          <w:szCs w:val="32"/>
          <w:highlight w:val="none"/>
        </w:rPr>
        <w:t>签订时间：</w:t>
      </w:r>
      <w:r>
        <w:rPr>
          <w:rFonts w:hint="eastAsia" w:eastAsia="宋体"/>
          <w:sz w:val="32"/>
          <w:szCs w:val="32"/>
          <w:highlight w:val="none"/>
          <w:u w:val="single"/>
        </w:rPr>
        <w:t xml:space="preserve">      </w:t>
      </w:r>
      <w:r>
        <w:rPr>
          <w:rFonts w:eastAsia="宋体"/>
          <w:sz w:val="32"/>
          <w:szCs w:val="32"/>
          <w:highlight w:val="none"/>
          <w:u w:val="single"/>
        </w:rPr>
        <w:t xml:space="preserve">           </w:t>
      </w:r>
      <w:r>
        <w:rPr>
          <w:rFonts w:hint="eastAsia" w:eastAsia="宋体"/>
          <w:sz w:val="32"/>
          <w:szCs w:val="32"/>
          <w:highlight w:val="none"/>
          <w:u w:val="single"/>
        </w:rPr>
        <w:t xml:space="preserve">            </w:t>
      </w:r>
    </w:p>
    <w:p>
      <w:pPr>
        <w:rPr>
          <w:rFonts w:eastAsia="宋体"/>
          <w:highlight w:val="none"/>
        </w:rPr>
      </w:pPr>
    </w:p>
    <w:p>
      <w:pPr>
        <w:rPr>
          <w:rFonts w:eastAsia="黑体"/>
          <w:sz w:val="44"/>
          <w:szCs w:val="44"/>
          <w:highlight w:val="none"/>
        </w:rPr>
      </w:pPr>
      <w:r>
        <w:rPr>
          <w:rFonts w:eastAsia="黑体"/>
          <w:sz w:val="44"/>
          <w:szCs w:val="44"/>
          <w:highlight w:val="none"/>
        </w:rPr>
        <w:br w:type="page"/>
      </w:r>
    </w:p>
    <w:p>
      <w:pPr>
        <w:rPr>
          <w:rFonts w:eastAsia="黑体"/>
          <w:sz w:val="44"/>
          <w:szCs w:val="44"/>
          <w:highlight w:val="none"/>
        </w:rPr>
      </w:pPr>
    </w:p>
    <w:p>
      <w:pPr>
        <w:rPr>
          <w:rFonts w:eastAsia="黑体"/>
          <w:sz w:val="44"/>
          <w:szCs w:val="44"/>
          <w:highlight w:val="none"/>
        </w:rPr>
      </w:pPr>
    </w:p>
    <w:p>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pPr>
        <w:ind w:firstLine="640" w:firstLineChars="200"/>
        <w:rPr>
          <w:rFonts w:hint="eastAsia" w:ascii="仿宋_GB2312" w:hAnsi="仿宋_GB2312" w:eastAsia="仿宋_GB2312" w:cs="仿宋_GB2312"/>
          <w:sz w:val="32"/>
          <w:szCs w:val="32"/>
          <w:highlight w:val="none"/>
          <w:lang w:val="en-US" w:eastAsia="zh-CN"/>
        </w:rPr>
      </w:pPr>
    </w:p>
    <w:p>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highlight w:val="none"/>
          <w:lang w:val="en-US" w:eastAsia="zh-CN" w:bidi="ar-SA"/>
        </w:rPr>
      </w:pPr>
      <w:bookmarkStart w:id="37"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黑体" w:eastAsia="黑体" w:cs="Times New Roman"/>
          <w:b w:val="0"/>
          <w:bCs w:val="0"/>
          <w:kern w:val="2"/>
          <w:sz w:val="28"/>
          <w:szCs w:val="28"/>
          <w:highlight w:val="none"/>
          <w:lang w:val="en-US" w:eastAsia="zh-CN" w:bidi="ar-SA"/>
        </w:rPr>
        <w:t xml:space="preserve">第一节 </w:t>
      </w:r>
      <w:r>
        <w:rPr>
          <w:rFonts w:hint="eastAsia" w:ascii="黑体" w:hAnsi="华文中宋" w:eastAsia="黑体" w:cs="Times New Roman"/>
          <w:b w:val="0"/>
          <w:bCs w:val="0"/>
          <w:kern w:val="2"/>
          <w:sz w:val="28"/>
          <w:szCs w:val="28"/>
          <w:highlight w:val="none"/>
          <w:lang w:val="en-US" w:eastAsia="zh-CN" w:bidi="ar-SA"/>
        </w:rPr>
        <w:t>政府采购合同协议书</w:t>
      </w:r>
      <w:bookmarkEnd w:id="37"/>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甲方（全称）：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或采购</w:t>
      </w:r>
      <w:r>
        <w:rPr>
          <w:rFonts w:hint="eastAsia" w:ascii="宋体" w:hAnsi="宋体" w:eastAsia="宋体"/>
          <w:szCs w:val="21"/>
          <w:highlight w:val="none"/>
          <w:lang w:val="en-US" w:eastAsia="zh-CN"/>
        </w:rPr>
        <w:tab/>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文件约定的合同甲方）</w:t>
      </w:r>
    </w:p>
    <w:p>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乙方</w:t>
      </w:r>
      <w:r>
        <w:rPr>
          <w:rFonts w:hint="eastAsia" w:ascii="宋体" w:hAnsi="宋体" w:eastAsia="宋体"/>
          <w:szCs w:val="21"/>
          <w:highlight w:val="none"/>
          <w:lang w:val="en-US" w:eastAsia="zh-CN"/>
        </w:rPr>
        <w:t>1</w:t>
      </w:r>
      <w:r>
        <w:rPr>
          <w:rFonts w:hint="eastAsia" w:ascii="宋体" w:hAnsi="宋体" w:eastAsia="宋体"/>
          <w:szCs w:val="21"/>
          <w:highlight w:val="none"/>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（供应商）</w:t>
      </w:r>
    </w:p>
    <w:p>
      <w:pPr>
        <w:adjustRightInd w:val="0"/>
        <w:snapToGrid w:val="0"/>
        <w:spacing w:before="0" w:beforeLines="0" w:line="400" w:lineRule="exact"/>
        <w:rPr>
          <w:rFonts w:hint="eastAsia" w:ascii="宋体" w:hAnsi="宋体" w:eastAsia="宋体"/>
          <w:szCs w:val="21"/>
          <w:highlight w:val="none"/>
        </w:rPr>
      </w:pPr>
      <w:r>
        <w:rPr>
          <w:rFonts w:hint="eastAsia" w:ascii="宋体" w:hAnsi="宋体" w:eastAsia="宋体"/>
          <w:szCs w:val="21"/>
          <w:highlight w:val="none"/>
        </w:rPr>
        <w:t>乙方2（全称）：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pPr>
        <w:adjustRightInd w:val="0"/>
        <w:snapToGrid w:val="0"/>
        <w:spacing w:before="0" w:beforeLines="0" w:line="400" w:lineRule="exact"/>
        <w:rPr>
          <w:rFonts w:hint="eastAsia" w:ascii="宋体" w:hAnsi="宋体" w:eastAsia="宋体"/>
          <w:szCs w:val="21"/>
          <w:highlight w:val="none"/>
        </w:rPr>
      </w:pPr>
      <w:r>
        <w:rPr>
          <w:rFonts w:hint="eastAsia" w:eastAsia="宋体"/>
          <w:highlight w:val="none"/>
          <w:lang w:eastAsia="zh-CN"/>
        </w:rPr>
        <w:t>乙方</w:t>
      </w:r>
      <w:r>
        <w:rPr>
          <w:rFonts w:hint="eastAsia" w:ascii="宋体" w:hAnsi="宋体" w:eastAsia="宋体"/>
          <w:szCs w:val="21"/>
          <w:highlight w:val="none"/>
          <w:lang w:val="en-US" w:eastAsia="zh-CN"/>
        </w:rPr>
        <w:t>3</w:t>
      </w:r>
      <w:r>
        <w:rPr>
          <w:rFonts w:hint="eastAsia" w:eastAsia="宋体"/>
          <w:highlight w:val="none"/>
          <w:lang w:val="en-US" w:eastAsia="zh-CN"/>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pPr>
        <w:spacing w:beforeLines="0" w:line="400" w:lineRule="exact"/>
        <w:rPr>
          <w:rFonts w:hint="default" w:eastAsia="宋体"/>
          <w:highlight w:val="none"/>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的招标文件等采购文件、乙方的《投标（响应）文件》及《中标（成交）通知书》，甲乙双方同意签订本合同。具体情况及要求如下：     </w:t>
      </w:r>
    </w:p>
    <w:p>
      <w:pPr>
        <w:numPr>
          <w:ilvl w:val="0"/>
          <w:numId w:val="7"/>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项目信息</w:t>
      </w:r>
    </w:p>
    <w:p>
      <w:pPr>
        <w:widowControl w:val="0"/>
        <w:numPr>
          <w:ilvl w:val="0"/>
          <w:numId w:val="8"/>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（3）项目内容：</w:t>
      </w:r>
    </w:p>
    <w:p>
      <w:pPr>
        <w:adjustRightInd w:val="0"/>
        <w:snapToGrid w:val="0"/>
        <w:spacing w:before="0" w:beforeLines="0" w:line="4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采购标的及数量</w:t>
      </w:r>
      <w:r>
        <w:rPr>
          <w:rFonts w:hint="eastAsia" w:ascii="宋体" w:hAnsi="宋体" w:eastAsia="宋体"/>
          <w:szCs w:val="21"/>
          <w:highlight w:val="none"/>
          <w:lang w:val="en-US" w:eastAsia="zh-CN"/>
        </w:rPr>
        <w:t>（台/套</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个</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架</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组等</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highlight w:val="none"/>
          <w:u w:val="singl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竞争性谈判</w:t>
      </w: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highlight w:val="none"/>
        </w:rPr>
      </w:pPr>
      <w:r>
        <w:rPr>
          <w:rFonts w:hint="eastAsia" w:ascii="宋体" w:hAnsi="宋体" w:eastAsia="宋体"/>
          <w:w w:val="100"/>
          <w:szCs w:val="21"/>
          <w:highlight w:val="none"/>
          <w:lang w:val="en-US" w:eastAsia="zh-CN"/>
        </w:rPr>
        <w:t xml:space="preserve">         本合同</w:t>
      </w:r>
      <w:r>
        <w:rPr>
          <w:rFonts w:hint="eastAsia" w:ascii="宋体" w:hAnsi="宋体" w:eastAsia="宋体"/>
          <w:w w:val="100"/>
          <w:szCs w:val="21"/>
          <w:highlight w:val="none"/>
        </w:rPr>
        <w:t>是否</w:t>
      </w:r>
      <w:r>
        <w:rPr>
          <w:rFonts w:hint="eastAsia" w:ascii="宋体" w:hAnsi="宋体" w:eastAsia="宋体"/>
          <w:w w:val="100"/>
          <w:szCs w:val="21"/>
          <w:highlight w:val="none"/>
          <w:lang w:eastAsia="zh-CN"/>
        </w:rPr>
        <w:t>为专门面向</w:t>
      </w:r>
      <w:r>
        <w:rPr>
          <w:rFonts w:hint="eastAsia" w:ascii="宋体" w:hAnsi="宋体" w:eastAsia="宋体"/>
          <w:w w:val="100"/>
          <w:szCs w:val="21"/>
          <w:highlight w:val="none"/>
        </w:rPr>
        <w:t>中小企业</w:t>
      </w:r>
      <w:r>
        <w:rPr>
          <w:rFonts w:hint="eastAsia" w:ascii="宋体" w:hAnsi="宋体" w:eastAsia="宋体"/>
          <w:w w:val="100"/>
          <w:szCs w:val="21"/>
          <w:highlight w:val="none"/>
          <w:lang w:eastAsia="zh-CN"/>
        </w:rPr>
        <w:t>的采</w:t>
      </w:r>
      <w:r>
        <w:rPr>
          <w:rFonts w:hint="eastAsia" w:ascii="宋体" w:hAnsi="宋体" w:eastAsia="宋体"/>
          <w:w w:val="100"/>
          <w:szCs w:val="21"/>
          <w:highlight w:val="none"/>
          <w:shd w:val="clear"/>
          <w:lang w:eastAsia="zh-CN"/>
        </w:rPr>
        <w:t>购</w:t>
      </w:r>
      <w:r>
        <w:rPr>
          <w:rFonts w:hint="eastAsia" w:ascii="宋体" w:hAnsi="宋体" w:eastAsia="宋体"/>
          <w:w w:val="100"/>
          <w:szCs w:val="21"/>
          <w:highlight w:val="none"/>
          <w:shd w:val="clear"/>
        </w:rPr>
        <w:t>合同</w:t>
      </w:r>
      <w:r>
        <w:rPr>
          <w:rFonts w:hint="eastAsia" w:ascii="宋体" w:hAnsi="宋体" w:eastAsia="宋体"/>
          <w:w w:val="100"/>
          <w:szCs w:val="21"/>
          <w:highlight w:val="none"/>
          <w:shd w:val="clear"/>
          <w:lang w:eastAsia="zh-CN"/>
        </w:rPr>
        <w:t>（中小企业预留合同）</w:t>
      </w:r>
      <w:r>
        <w:rPr>
          <w:rFonts w:hint="eastAsia" w:ascii="宋体" w:hAnsi="宋体" w:eastAsia="宋体"/>
          <w:szCs w:val="21"/>
          <w:highlight w:val="none"/>
          <w:shd w:val="clear"/>
        </w:rPr>
        <w:t>：</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若本项目不专门面向中小企业采购，是否给予小微企业评审优惠：</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中标（成交）采购标的制造商是否为残疾人福利性单位：</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numPr>
          <w:ilvl w:val="0"/>
          <w:numId w:val="0"/>
        </w:numPr>
        <w:snapToGrid w:val="0"/>
        <w:spacing w:beforeLines="0" w:line="400" w:lineRule="exact"/>
        <w:ind w:firstLine="0" w:firstLineChars="0"/>
        <w:rPr>
          <w:rFonts w:hint="default" w:eastAsia="宋体"/>
          <w:highlight w:val="none"/>
          <w:lang w:val="en-US" w:eastAsia="zh-CN"/>
        </w:rPr>
      </w:pPr>
      <w:r>
        <w:rPr>
          <w:rFonts w:hint="eastAsia" w:eastAsia="宋体"/>
          <w:highlight w:val="none"/>
          <w:lang w:val="en-US" w:eastAsia="zh-CN"/>
        </w:rPr>
        <w:t xml:space="preserve">         中标（成交）采购标的制造商是否为监狱企业：</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default" w:ascii="宋体" w:hAnsi="宋体" w:eastAsia="宋体"/>
          <w:szCs w:val="21"/>
          <w:highlight w:val="none"/>
          <w:lang w:val="en" w:eastAsia="zh-CN"/>
        </w:rPr>
        <w:t>7</w:t>
      </w:r>
      <w:r>
        <w:rPr>
          <w:rFonts w:hint="eastAsia" w:ascii="宋体" w:hAnsi="宋体" w:eastAsia="宋体"/>
          <w:szCs w:val="21"/>
          <w:highlight w:val="none"/>
        </w:rPr>
        <w:t>）合同是否分包：</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pPr>
        <w:adjustRightInd w:val="0"/>
        <w:snapToGrid w:val="0"/>
        <w:spacing w:before="0" w:beforeLines="0" w:line="400" w:lineRule="exact"/>
        <w:ind w:firstLine="840" w:firstLineChars="40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分包主要内容：</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highlight w:val="none"/>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highlight w:val="none"/>
        </w:rPr>
        <w:t>：</w:t>
      </w:r>
    </w:p>
    <w:p>
      <w:pPr>
        <w:adjustRightInd w:val="0"/>
        <w:snapToGrid w:val="0"/>
        <w:spacing w:beforeLines="0" w:line="400" w:lineRule="exact"/>
        <w:ind w:firstLine="840" w:firstLineChars="40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大型企业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中型企业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小微型企业</w:t>
      </w:r>
      <w:r>
        <w:rPr>
          <w:rFonts w:hint="eastAsia" w:ascii="宋体" w:hAnsi="宋体" w:eastAsia="宋体"/>
          <w:iCs/>
          <w:szCs w:val="21"/>
          <w:highlight w:val="none"/>
          <w:lang w:val="en-US" w:eastAsia="zh-CN"/>
        </w:rPr>
        <w:t xml:space="preserve">  </w:t>
      </w:r>
    </w:p>
    <w:p>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残疾人福利性单位</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监狱</w:t>
      </w:r>
      <w:r>
        <w:rPr>
          <w:rFonts w:hint="eastAsia" w:ascii="宋体" w:hAnsi="宋体" w:eastAsia="宋体"/>
          <w:iCs/>
          <w:szCs w:val="21"/>
          <w:highlight w:val="none"/>
        </w:rPr>
        <w:t>企业</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u w:val="none"/>
          <w:lang w:val="en-US" w:eastAsia="zh-CN"/>
        </w:rPr>
      </w:pP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（1</w:t>
      </w:r>
      <w:r>
        <w:rPr>
          <w:rFonts w:hint="default" w:ascii="宋体" w:hAnsi="宋体" w:eastAsia="宋体"/>
          <w:b w:val="0"/>
          <w:bCs w:val="0"/>
          <w:sz w:val="21"/>
          <w:szCs w:val="21"/>
          <w:highlight w:val="none"/>
          <w:u w:val="none"/>
          <w:lang w:val="en" w:eastAsia="zh-CN"/>
        </w:rPr>
        <w:t>0</w:t>
      </w:r>
      <w:r>
        <w:rPr>
          <w:rFonts w:hint="eastAsia" w:ascii="宋体" w:hAnsi="宋体" w:eastAsia="宋体"/>
          <w:b w:val="0"/>
          <w:bCs w:val="0"/>
          <w:sz w:val="21"/>
          <w:szCs w:val="21"/>
          <w:highlight w:val="none"/>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（1</w:t>
      </w:r>
      <w:r>
        <w:rPr>
          <w:rFonts w:hint="default" w:ascii="宋体" w:hAnsi="宋体" w:eastAsia="宋体"/>
          <w:szCs w:val="21"/>
          <w:highlight w:val="none"/>
          <w:lang w:val="en" w:eastAsia="zh-CN"/>
        </w:rPr>
        <w:t>1</w:t>
      </w:r>
      <w:r>
        <w:rPr>
          <w:rFonts w:hint="eastAsia" w:ascii="宋体" w:hAnsi="宋体" w:eastAsia="宋体"/>
          <w:szCs w:val="21"/>
          <w:highlight w:val="none"/>
          <w:lang w:val="en-US" w:eastAsia="zh-CN"/>
        </w:rPr>
        <w:t>）涉及商品包装和快递包装的，是否参考</w:t>
      </w:r>
      <w:r>
        <w:rPr>
          <w:rFonts w:hint="eastAsia" w:ascii="宋体" w:hAnsi="宋体" w:eastAsia="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pPr>
        <w:numPr>
          <w:ilvl w:val="0"/>
          <w:numId w:val="7"/>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（1）合同金额小写：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left="0" w:firstLine="0" w:firstLineChars="0"/>
        <w:rPr>
          <w:rFonts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分包金额</w:t>
      </w:r>
      <w:r>
        <w:rPr>
          <w:rFonts w:hint="eastAsia" w:ascii="宋体" w:hAnsi="宋体" w:eastAsia="宋体"/>
          <w:szCs w:val="21"/>
          <w:highlight w:val="none"/>
          <w:lang w:eastAsia="zh-CN"/>
        </w:rPr>
        <w:t>（如有）</w:t>
      </w:r>
      <w:r>
        <w:rPr>
          <w:rFonts w:hint="eastAsia" w:ascii="宋体" w:hAnsi="宋体" w:eastAsia="宋体"/>
          <w:szCs w:val="21"/>
          <w:highlight w:val="none"/>
        </w:rPr>
        <w:t>小写：</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p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w:t>
      </w:r>
      <w:r>
        <w:rPr>
          <w:rFonts w:hint="eastAsia" w:ascii="宋体" w:hAnsi="宋体" w:eastAsia="宋体"/>
          <w:szCs w:val="21"/>
          <w:highlight w:val="none"/>
        </w:rPr>
        <w:t>合同定价方式</w:t>
      </w:r>
      <w:r>
        <w:rPr>
          <w:rFonts w:hint="eastAsia" w:ascii="宋体" w:hAnsi="宋体" w:eastAsia="宋体"/>
          <w:szCs w:val="21"/>
          <w:highlight w:val="none"/>
          <w:lang w:eastAsia="zh-CN"/>
        </w:rPr>
        <w:t>（采用组合定价方式的，可以勾选多项）</w:t>
      </w:r>
      <w:r>
        <w:rPr>
          <w:rFonts w:hint="eastAsia" w:ascii="宋体" w:hAnsi="宋体" w:eastAsia="宋体"/>
          <w:szCs w:val="21"/>
          <w:highlight w:val="none"/>
        </w:rPr>
        <w:t>：</w:t>
      </w:r>
    </w:p>
    <w:p>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固定总价 </w:t>
      </w:r>
      <w:r>
        <w:rPr>
          <w:rFonts w:hint="eastAsia" w:ascii="宋体" w:hAnsi="宋体" w:eastAsia="宋体"/>
          <w:iCs/>
          <w:szCs w:val="21"/>
          <w:highlight w:val="none"/>
        </w:rPr>
        <w:sym w:font="Wingdings" w:char="00A8"/>
      </w:r>
      <w:r>
        <w:rPr>
          <w:rFonts w:hint="eastAsia" w:ascii="宋体" w:hAnsi="宋体" w:eastAsia="宋体"/>
          <w:iCs/>
          <w:szCs w:val="21"/>
          <w:highlight w:val="none"/>
        </w:rPr>
        <w:t>固定单价</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固定费率</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成本补偿 </w:t>
      </w:r>
      <w:r>
        <w:rPr>
          <w:rFonts w:hint="eastAsia" w:ascii="宋体" w:hAnsi="宋体" w:eastAsia="宋体"/>
          <w:iCs/>
          <w:szCs w:val="21"/>
          <w:highlight w:val="none"/>
        </w:rPr>
        <w:sym w:font="Wingdings" w:char="00A8"/>
      </w:r>
      <w:r>
        <w:rPr>
          <w:rFonts w:hint="eastAsia" w:ascii="宋体" w:hAnsi="宋体" w:eastAsia="宋体"/>
          <w:iCs/>
          <w:szCs w:val="21"/>
          <w:highlight w:val="none"/>
        </w:rPr>
        <w:t>绩效激励</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r>
        <w:rPr>
          <w:rFonts w:hint="eastAsia" w:ascii="宋体" w:hAnsi="宋体" w:eastAsia="宋体"/>
          <w:szCs w:val="21"/>
          <w:highlight w:val="none"/>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全额付款：</w:t>
      </w:r>
      <w:r>
        <w:rPr>
          <w:rFonts w:hint="eastAsia" w:ascii="宋体" w:hAnsi="宋体" w:eastAsia="宋体"/>
          <w:szCs w:val="21"/>
          <w:highlight w:val="none"/>
          <w:u w:val="single"/>
        </w:rPr>
        <w:t xml:space="preserve">     （应</w:t>
      </w:r>
      <w:r>
        <w:rPr>
          <w:rFonts w:hint="eastAsia" w:ascii="宋体" w:hAnsi="宋体" w:eastAsia="宋体"/>
          <w:szCs w:val="21"/>
          <w:highlight w:val="none"/>
          <w:u w:val="single"/>
          <w:lang w:eastAsia="zh-CN"/>
        </w:rPr>
        <w:t>明确</w:t>
      </w:r>
      <w:r>
        <w:rPr>
          <w:rFonts w:hint="eastAsia" w:ascii="宋体" w:hAnsi="宋体" w:eastAsia="宋体"/>
          <w:szCs w:val="21"/>
          <w:highlight w:val="none"/>
          <w:u w:val="single"/>
        </w:rPr>
        <w:t>一次性支付合同款项</w:t>
      </w:r>
      <w:r>
        <w:rPr>
          <w:rFonts w:hint="eastAsia" w:ascii="宋体" w:hAnsi="宋体" w:eastAsia="宋体"/>
          <w:szCs w:val="21"/>
          <w:highlight w:val="none"/>
          <w:u w:val="single"/>
          <w:lang w:eastAsia="zh-CN"/>
        </w:rPr>
        <w:t>的条件</w:t>
      </w:r>
      <w:r>
        <w:rPr>
          <w:rFonts w:hint="eastAsia" w:ascii="宋体" w:hAnsi="宋体" w:eastAsia="宋体"/>
          <w:szCs w:val="21"/>
          <w:highlight w:val="none"/>
          <w:u w:val="single"/>
        </w:rPr>
        <w:t xml:space="preserve">）                    </w:t>
      </w:r>
    </w:p>
    <w:p>
      <w:pPr>
        <w:snapToGrid w:val="0"/>
        <w:spacing w:beforeLines="0" w:line="400" w:lineRule="exact"/>
        <w:ind w:firstLine="630" w:firstLineChars="300"/>
        <w:rPr>
          <w:rFonts w:eastAsia="宋体"/>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分期付款：</w:t>
      </w:r>
      <w:r>
        <w:rPr>
          <w:rFonts w:hint="eastAsia" w:ascii="宋体" w:hAnsi="宋体" w:eastAsia="宋体"/>
          <w:szCs w:val="21"/>
          <w:highlight w:val="none"/>
          <w:u w:val="single"/>
        </w:rPr>
        <w:t xml:space="preserve">  （应明确分期支付合同款项的各期比例和支付条件</w:t>
      </w:r>
      <w:r>
        <w:rPr>
          <w:rFonts w:hint="eastAsia" w:ascii="宋体" w:hAnsi="宋体" w:eastAsia="宋体"/>
          <w:szCs w:val="21"/>
          <w:highlight w:val="none"/>
          <w:u w:val="single"/>
          <w:lang w:eastAsia="zh-CN"/>
        </w:rPr>
        <w:t>，各期支付条件应与分期履约验收情况挂钩</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lang w:eastAsia="zh-CN"/>
        </w:rPr>
        <w:t>其中涉及预付款的</w:t>
      </w:r>
      <w:r>
        <w:rPr>
          <w:rFonts w:hint="eastAsia" w:ascii="宋体" w:hAnsi="宋体" w:eastAsia="宋体"/>
          <w:szCs w:val="21"/>
          <w:highlight w:val="none"/>
        </w:rPr>
        <w:t>：</w:t>
      </w:r>
      <w:r>
        <w:rPr>
          <w:rFonts w:hint="eastAsia" w:ascii="宋体" w:hAnsi="宋体" w:eastAsia="宋体"/>
          <w:szCs w:val="21"/>
          <w:highlight w:val="none"/>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成本补偿：</w:t>
      </w:r>
      <w:r>
        <w:rPr>
          <w:rFonts w:hint="eastAsia" w:ascii="宋体" w:hAnsi="宋体" w:eastAsia="宋体"/>
          <w:szCs w:val="21"/>
          <w:highlight w:val="none"/>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绩效激励：</w:t>
      </w:r>
      <w:r>
        <w:rPr>
          <w:rFonts w:hint="eastAsia" w:ascii="宋体" w:hAnsi="宋体" w:eastAsia="宋体"/>
          <w:szCs w:val="21"/>
          <w:highlight w:val="none"/>
          <w:u w:val="single"/>
        </w:rPr>
        <w:t xml:space="preserve">      （应明确按照绩效激励方式的支付方式和支付条件）   </w:t>
      </w:r>
    </w:p>
    <w:p>
      <w:pPr>
        <w:numPr>
          <w:ilvl w:val="0"/>
          <w:numId w:val="7"/>
        </w:numPr>
        <w:adjustRightInd w:val="0"/>
        <w:snapToGrid w:val="0"/>
        <w:spacing w:before="0" w:beforeLines="0" w:line="400" w:lineRule="exact"/>
        <w:ind w:firstLine="422" w:firstLineChars="200"/>
        <w:rPr>
          <w:rFonts w:ascii="宋体" w:hAnsi="宋体" w:eastAsia="宋体"/>
          <w:b/>
          <w:bCs w:val="0"/>
          <w:szCs w:val="21"/>
          <w:highlight w:val="none"/>
          <w:u w:val="single"/>
        </w:rPr>
      </w:pPr>
      <w:r>
        <w:rPr>
          <w:rFonts w:hint="eastAsia" w:ascii="宋体" w:hAnsi="宋体" w:eastAsia="宋体"/>
          <w:b/>
          <w:bCs w:val="0"/>
          <w:szCs w:val="21"/>
          <w:highlight w:val="none"/>
        </w:rPr>
        <w:t>合同履行</w:t>
      </w:r>
    </w:p>
    <w:p>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pPr>
        <w:numPr>
          <w:ilvl w:val="0"/>
          <w:numId w:val="7"/>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合同验收</w:t>
      </w:r>
    </w:p>
    <w:p>
      <w:pPr>
        <w:numPr>
          <w:ilvl w:val="0"/>
          <w:numId w:val="9"/>
        </w:num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委托第三方组织</w:t>
      </w:r>
    </w:p>
    <w:p>
      <w:pPr>
        <w:numPr>
          <w:ilvl w:val="0"/>
          <w:numId w:val="0"/>
        </w:numPr>
        <w:adjustRightInd w:val="0"/>
        <w:snapToGrid w:val="0"/>
        <w:spacing w:before="0" w:beforeLines="0" w:line="400" w:lineRule="exact"/>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验收主体：</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0" w:firstLineChars="0"/>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是否邀请本项目的其他供应商</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是否邀请专家</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是否邀请服务对象</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是否邀请第三方检测机构</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，抽查比例：</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eastAsia="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验收组织的其他事项：</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（2）履约验收时间：</w:t>
      </w:r>
      <w:r>
        <w:rPr>
          <w:rFonts w:hint="eastAsia" w:ascii="宋体" w:hAnsi="宋体" w:eastAsia="宋体"/>
          <w:bCs/>
          <w:szCs w:val="21"/>
          <w:highlight w:val="none"/>
          <w:u w:val="single"/>
        </w:rPr>
        <w:t>（计划于何时验收/供应商提出验收申请之日起   日内组织验收）</w:t>
      </w:r>
      <w:r>
        <w:rPr>
          <w:rFonts w:hint="eastAsia" w:ascii="宋体" w:hAnsi="宋体" w:eastAsia="宋体"/>
          <w:bCs/>
          <w:szCs w:val="21"/>
          <w:highlight w:val="none"/>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一次性验收         </w:t>
      </w:r>
    </w:p>
    <w:p>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分期/分项验收</w:t>
      </w:r>
      <w:r>
        <w:rPr>
          <w:rFonts w:hint="eastAsia" w:ascii="宋体" w:hAnsi="宋体" w:eastAsia="宋体"/>
          <w:bCs/>
          <w:szCs w:val="21"/>
          <w:highlight w:val="non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（应明确分期</w:t>
      </w:r>
      <w:r>
        <w:rPr>
          <w:rFonts w:hint="default" w:ascii="宋体" w:hAnsi="宋体" w:eastAsia="宋体"/>
          <w:bCs/>
          <w:szCs w:val="21"/>
          <w:highlight w:val="none"/>
          <w:u w:val="single"/>
          <w:lang w:val="en" w:eastAsia="zh-CN"/>
        </w:rPr>
        <w:t>/</w:t>
      </w:r>
      <w:r>
        <w:rPr>
          <w:rFonts w:hint="eastAsia" w:ascii="宋体" w:hAnsi="宋体" w:eastAsia="宋体"/>
          <w:bCs/>
          <w:szCs w:val="21"/>
          <w:highlight w:val="none"/>
          <w:u w:val="single"/>
          <w:lang w:val="en" w:eastAsia="zh-CN"/>
        </w:rPr>
        <w:t>分项验收的工作安排</w:t>
      </w:r>
      <w:r>
        <w:rPr>
          <w:rFonts w:hint="eastAsia" w:ascii="宋体" w:hAnsi="宋体" w:eastAsia="宋体"/>
          <w:bCs/>
          <w:szCs w:val="21"/>
          <w:highlight w:val="none"/>
          <w:u w:val="singl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highlight w:val="none"/>
        </w:rPr>
      </w:pPr>
      <w:r>
        <w:rPr>
          <w:rFonts w:hint="eastAsia" w:ascii="宋体" w:hAnsi="宋体" w:eastAsia="宋体"/>
          <w:bCs/>
          <w:szCs w:val="21"/>
          <w:highlight w:val="none"/>
        </w:rPr>
        <w:t>（4）履约验收程序：</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ascii="宋体" w:hAnsi="宋体" w:eastAsia="宋体"/>
          <w:bCs/>
          <w:szCs w:val="21"/>
          <w:highlight w:val="none"/>
          <w:u w:val="single"/>
        </w:rPr>
      </w:pPr>
      <w:r>
        <w:rPr>
          <w:rFonts w:hint="eastAsia" w:ascii="宋体" w:hAnsi="宋体" w:eastAsia="宋体"/>
          <w:bCs/>
          <w:szCs w:val="21"/>
          <w:highlight w:val="none"/>
        </w:rPr>
        <w:t>（5）履约验收的内容：</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（6）履约验收标准：</w:t>
      </w:r>
      <w:r>
        <w:rPr>
          <w:rFonts w:hint="eastAsia" w:ascii="宋体" w:hAnsi="宋体" w:eastAsia="宋体"/>
          <w:bCs/>
          <w:szCs w:val="21"/>
          <w:highlight w:val="none"/>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pPr>
        <w:numPr>
          <w:ilvl w:val="0"/>
          <w:numId w:val="7"/>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组成合同的文件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2</w:t>
      </w:r>
      <w:r>
        <w:rPr>
          <w:rFonts w:hint="eastAsia" w:ascii="宋体" w:hAnsi="宋体" w:eastAsia="宋体"/>
          <w:szCs w:val="21"/>
          <w:highlight w:val="none"/>
        </w:rPr>
        <w:t>）政府采购合同专用条款</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3</w:t>
      </w:r>
      <w:r>
        <w:rPr>
          <w:rFonts w:hint="eastAsia" w:ascii="宋体" w:hAnsi="宋体" w:eastAsia="宋体"/>
          <w:szCs w:val="21"/>
          <w:highlight w:val="none"/>
        </w:rPr>
        <w:t>）政府采购合同通用条款</w:t>
      </w:r>
    </w:p>
    <w:p>
      <w:pPr>
        <w:adjustRightInd w:val="0"/>
        <w:snapToGrid w:val="0"/>
        <w:spacing w:before="0" w:beforeLines="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5</w:t>
      </w:r>
      <w:r>
        <w:rPr>
          <w:rFonts w:hint="eastAsia" w:ascii="宋体" w:hAnsi="宋体" w:eastAsia="宋体"/>
          <w:szCs w:val="21"/>
          <w:highlight w:val="none"/>
        </w:rPr>
        <w:t>）投标（响应）文件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（6）采购文件</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7"/>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合同生效</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本合同自</w:t>
      </w:r>
      <w:r>
        <w:rPr>
          <w:rFonts w:hint="eastAsia" w:ascii="宋体" w:hAnsi="宋体" w:eastAsia="宋体"/>
          <w:szCs w:val="21"/>
          <w:highlight w:val="none"/>
          <w:u w:val="single"/>
        </w:rPr>
        <w:t xml:space="preserve">                             </w:t>
      </w:r>
      <w:r>
        <w:rPr>
          <w:rFonts w:hint="eastAsia" w:ascii="宋体" w:hAnsi="宋体" w:eastAsia="宋体"/>
          <w:szCs w:val="21"/>
          <w:highlight w:val="none"/>
        </w:rPr>
        <w:t>生效。</w:t>
      </w:r>
    </w:p>
    <w:p>
      <w:pPr>
        <w:numPr>
          <w:ilvl w:val="0"/>
          <w:numId w:val="7"/>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合同份数</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本合同一式</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甲方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乙方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份，均具有同等法律效力。</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合同订立地点：</w:t>
      </w:r>
      <w:r>
        <w:rPr>
          <w:rFonts w:hint="eastAsia" w:ascii="宋体" w:hAnsi="宋体" w:eastAsia="宋体"/>
          <w:szCs w:val="21"/>
          <w:highlight w:val="none"/>
          <w:u w:val="single"/>
        </w:rPr>
        <w:t xml:space="preserve">                           </w:t>
      </w:r>
    </w:p>
    <w:p>
      <w:pPr>
        <w:adjustRightInd w:val="0"/>
        <w:snapToGrid w:val="0"/>
        <w:spacing w:before="0" w:beforeLines="0" w:line="400" w:lineRule="exact"/>
        <w:ind w:firstLine="420" w:firstLineChars="200"/>
        <w:rPr>
          <w:rFonts w:eastAsia="宋体"/>
          <w:highlight w:val="none"/>
        </w:rPr>
      </w:pPr>
      <w:r>
        <w:rPr>
          <w:rFonts w:hint="eastAsia" w:ascii="宋体" w:hAnsi="宋体" w:eastAsia="宋体"/>
          <w:szCs w:val="21"/>
          <w:highlight w:val="none"/>
        </w:rPr>
        <w:t>附件：具体标</w:t>
      </w:r>
      <w:r>
        <w:rPr>
          <w:rFonts w:hint="eastAsia" w:ascii="宋体" w:hAnsi="宋体" w:eastAsia="宋体"/>
          <w:szCs w:val="21"/>
          <w:highlight w:val="none"/>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highlight w:val="none"/>
        </w:rPr>
        <w:t>、联合协议、分包</w:t>
      </w:r>
      <w:r>
        <w:rPr>
          <w:rFonts w:hint="eastAsia" w:ascii="宋体" w:hAnsi="宋体" w:eastAsia="宋体"/>
          <w:szCs w:val="21"/>
          <w:highlight w:val="none"/>
          <w:lang w:eastAsia="zh-CN"/>
        </w:rPr>
        <w:t>意向</w:t>
      </w:r>
      <w:r>
        <w:rPr>
          <w:rFonts w:hint="eastAsia" w:ascii="宋体" w:hAnsi="宋体" w:eastAsia="宋体"/>
          <w:szCs w:val="21"/>
          <w:highlight w:val="none"/>
        </w:rPr>
        <w:t>协议等。</w:t>
      </w:r>
    </w:p>
    <w:p>
      <w:pPr>
        <w:rPr>
          <w:rFonts w:hint="eastAsia" w:eastAsia="宋体"/>
          <w:highlight w:val="none"/>
        </w:rPr>
      </w:pPr>
      <w:r>
        <w:rPr>
          <w:rFonts w:hint="eastAsia" w:eastAsia="宋体"/>
          <w:highlight w:val="none"/>
        </w:rPr>
        <w:br w:type="page"/>
      </w:r>
    </w:p>
    <w:p>
      <w:pPr>
        <w:widowControl w:val="0"/>
        <w:ind w:firstLine="420" w:firstLineChars="200"/>
        <w:jc w:val="both"/>
        <w:rPr>
          <w:rFonts w:hint="eastAsia" w:ascii="Times New Roman" w:hAnsi="Times New Roman" w:eastAsia="宋体" w:cs="Times New Roman"/>
          <w:kern w:val="2"/>
          <w:sz w:val="21"/>
          <w:szCs w:val="21"/>
          <w:highlight w:val="none"/>
          <w:lang w:val="en-US" w:eastAsia="zh-CN" w:bidi="ar-SA"/>
        </w:rPr>
      </w:pPr>
    </w:p>
    <w:tbl>
      <w:tblPr>
        <w:tblStyle w:val="16"/>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highlight w:val="none"/>
              </w:rPr>
            </w:pPr>
            <w:r>
              <w:rPr>
                <w:rFonts w:eastAsia="宋体"/>
                <w:szCs w:val="21"/>
                <w:highlight w:val="none"/>
              </w:rPr>
              <w:t>甲方</w:t>
            </w:r>
            <w:r>
              <w:rPr>
                <w:rFonts w:hint="eastAsia"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w:t>
            </w:r>
            <w:r>
              <w:rPr>
                <w:rFonts w:hint="eastAsia" w:eastAsia="宋体"/>
                <w:szCs w:val="21"/>
                <w:highlight w:val="none"/>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highlight w:val="none"/>
              </w:rPr>
            </w:pPr>
            <w:r>
              <w:rPr>
                <w:rFonts w:eastAsia="宋体"/>
                <w:szCs w:val="21"/>
                <w:highlight w:val="none"/>
              </w:rPr>
              <w:t>乙方</w:t>
            </w:r>
            <w:r>
              <w:rPr>
                <w:rFonts w:hint="eastAsia" w:eastAsia="宋体"/>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法定代表人</w:t>
            </w:r>
          </w:p>
          <w:p>
            <w:pPr>
              <w:adjustRightInd w:val="0"/>
              <w:snapToGrid w:val="0"/>
              <w:spacing w:line="300" w:lineRule="exact"/>
              <w:ind w:firstLine="100" w:firstLineChars="48"/>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法定代表人</w:t>
            </w:r>
          </w:p>
          <w:p>
            <w:pPr>
              <w:adjustRightInd w:val="0"/>
              <w:snapToGrid w:val="0"/>
              <w:spacing w:line="300" w:lineRule="exact"/>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highlight w:val="none"/>
              </w:rPr>
            </w:pPr>
            <w:r>
              <w:rPr>
                <w:rFonts w:eastAsia="宋体"/>
                <w:szCs w:val="21"/>
                <w:highlight w:val="none"/>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7" w:firstLineChars="250"/>
        <w:textAlignment w:val="auto"/>
        <w:outlineLvl w:val="9"/>
        <w:rPr>
          <w:rFonts w:ascii="宋体" w:hAnsi="宋体"/>
          <w:b/>
          <w:szCs w:val="21"/>
          <w:highlight w:val="none"/>
        </w:rPr>
      </w:pPr>
    </w:p>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highlight w:val="none"/>
          <w:lang w:val="en-US" w:eastAsia="zh-CN" w:bidi="ar-SA"/>
        </w:rPr>
      </w:pPr>
      <w:bookmarkStart w:id="38" w:name="_Toc27624"/>
      <w:r>
        <w:rPr>
          <w:rFonts w:hint="eastAsia" w:ascii="黑体" w:hAnsi="黑体" w:eastAsia="黑体" w:cs="Times New Roman"/>
          <w:b w:val="0"/>
          <w:bCs w:val="0"/>
          <w:kern w:val="2"/>
          <w:sz w:val="28"/>
          <w:szCs w:val="28"/>
          <w:highlight w:val="none"/>
          <w:lang w:val="en-US" w:eastAsia="zh-CN" w:bidi="ar-SA"/>
        </w:rPr>
        <w:t>第二节 政府采购合同通用条款</w:t>
      </w:r>
      <w:bookmarkEnd w:id="38"/>
    </w:p>
    <w:p>
      <w:pPr>
        <w:tabs>
          <w:tab w:val="left" w:pos="8820"/>
          <w:tab w:val="left" w:pos="9345"/>
          <w:tab w:val="left" w:pos="9765"/>
        </w:tabs>
        <w:adjustRightInd w:val="0"/>
        <w:snapToGrid w:val="0"/>
        <w:spacing w:before="0" w:line="400" w:lineRule="exact"/>
        <w:jc w:val="left"/>
        <w:rPr>
          <w:rFonts w:ascii="宋体" w:hAnsi="宋体" w:eastAsia="宋体"/>
          <w:b/>
          <w:bCs/>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 xml:space="preserve"> </w:t>
      </w:r>
      <w:r>
        <w:rPr>
          <w:rFonts w:hint="eastAsia" w:ascii="宋体" w:hAnsi="宋体" w:eastAsia="宋体"/>
          <w:b/>
          <w:bCs/>
          <w:sz w:val="24"/>
          <w:highlight w:val="none"/>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r>
        <w:rPr>
          <w:rFonts w:hint="eastAsia" w:ascii="宋体" w:hAnsi="宋体" w:eastAsia="宋体"/>
          <w:szCs w:val="21"/>
          <w:highlight w:val="none"/>
        </w:rPr>
        <w:t>政府采购合同专用条款</w:t>
      </w:r>
      <w:r>
        <w:rPr>
          <w:rFonts w:hint="eastAsia" w:ascii="宋体" w:hAnsi="宋体" w:eastAsia="宋体"/>
          <w:szCs w:val="21"/>
          <w:highlight w:val="none"/>
          <w:lang w:eastAsia="zh-CN"/>
        </w:rPr>
        <w:t>，</w:t>
      </w:r>
      <w:r>
        <w:rPr>
          <w:rFonts w:hint="eastAsia" w:ascii="宋体" w:hAnsi="宋体" w:eastAsia="宋体"/>
          <w:szCs w:val="21"/>
          <w:highlight w:val="none"/>
        </w:rPr>
        <w:t>政府采购合同通用条款</w:t>
      </w:r>
      <w:r>
        <w:rPr>
          <w:rFonts w:hint="eastAsia" w:ascii="宋体" w:hAnsi="宋体" w:eastAsia="宋体"/>
          <w:szCs w:val="21"/>
          <w:highlight w:val="none"/>
          <w:lang w:eastAsia="zh-CN"/>
        </w:rPr>
        <w:t>，</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r>
        <w:rPr>
          <w:rFonts w:hint="eastAsia" w:ascii="宋体" w:hAnsi="宋体" w:eastAsia="宋体"/>
          <w:color w:val="auto"/>
          <w:szCs w:val="21"/>
          <w:highlight w:val="none"/>
          <w:lang w:eastAsia="zh-CN"/>
        </w:rPr>
        <w:t>，</w:t>
      </w:r>
      <w:r>
        <w:rPr>
          <w:rFonts w:hint="eastAsia" w:ascii="宋体" w:hAnsi="宋体" w:eastAsia="宋体"/>
          <w:szCs w:val="21"/>
          <w:highlight w:val="none"/>
        </w:rPr>
        <w:t>投标（响应）文件</w:t>
      </w:r>
      <w:r>
        <w:rPr>
          <w:rFonts w:hint="eastAsia" w:ascii="宋体" w:hAnsi="宋体" w:eastAsia="宋体"/>
          <w:szCs w:val="21"/>
          <w:highlight w:val="none"/>
          <w:lang w:eastAsia="zh-CN"/>
        </w:rPr>
        <w:t>，</w:t>
      </w:r>
      <w:r>
        <w:rPr>
          <w:rFonts w:hint="eastAsia" w:ascii="宋体" w:hAnsi="宋体" w:eastAsia="宋体"/>
          <w:szCs w:val="21"/>
          <w:highlight w:val="none"/>
        </w:rPr>
        <w:t>采购文件</w:t>
      </w:r>
      <w:r>
        <w:rPr>
          <w:rFonts w:hint="eastAsia" w:ascii="宋体" w:hAnsi="宋体" w:eastAsia="宋体"/>
          <w:szCs w:val="21"/>
          <w:highlight w:val="none"/>
          <w:lang w:eastAsia="zh-CN"/>
        </w:rPr>
        <w:t>，</w:t>
      </w:r>
      <w:r>
        <w:rPr>
          <w:rFonts w:hint="eastAsia" w:ascii="宋体" w:hAnsi="宋体" w:eastAsia="宋体"/>
          <w:szCs w:val="21"/>
          <w:highlight w:val="none"/>
        </w:rPr>
        <w:t>有关技术文件</w:t>
      </w:r>
      <w:r>
        <w:rPr>
          <w:rFonts w:hint="eastAsia" w:ascii="宋体" w:hAnsi="宋体" w:eastAsia="宋体"/>
          <w:szCs w:val="21"/>
          <w:highlight w:val="none"/>
          <w:lang w:eastAsia="zh-CN"/>
        </w:rPr>
        <w:t>和</w:t>
      </w:r>
      <w:r>
        <w:rPr>
          <w:rFonts w:hint="eastAsia" w:ascii="宋体" w:hAnsi="宋体" w:eastAsia="宋体"/>
          <w:szCs w:val="21"/>
          <w:highlight w:val="none"/>
        </w:rPr>
        <w:t>图纸</w:t>
      </w:r>
      <w:r>
        <w:rPr>
          <w:rFonts w:hint="eastAsia" w:ascii="宋体" w:hAnsi="宋体" w:eastAsia="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highlight w:val="none"/>
        </w:rPr>
        <w:t>“联合体”系指</w:t>
      </w:r>
      <w:r>
        <w:rPr>
          <w:rFonts w:hint="eastAsia" w:ascii="宋体" w:hAnsi="宋体" w:eastAsia="宋体"/>
          <w:szCs w:val="21"/>
          <w:highlight w:val="none"/>
          <w:lang w:eastAsia="zh-CN"/>
        </w:rPr>
        <w:t>由</w:t>
      </w:r>
      <w:r>
        <w:rPr>
          <w:rFonts w:hint="eastAsia" w:ascii="宋体" w:hAnsi="宋体" w:eastAsia="宋体"/>
          <w:szCs w:val="21"/>
          <w:highlight w:val="none"/>
        </w:rPr>
        <w:t>两个以上的自然人、法人或者</w:t>
      </w:r>
      <w:r>
        <w:rPr>
          <w:rFonts w:hint="eastAsia" w:ascii="宋体" w:hAnsi="宋体" w:eastAsia="宋体"/>
          <w:szCs w:val="21"/>
          <w:highlight w:val="none"/>
          <w:lang w:val="en-US" w:eastAsia="zh-CN"/>
        </w:rPr>
        <w:t>非法人</w:t>
      </w:r>
      <w:r>
        <w:rPr>
          <w:rFonts w:hint="eastAsia" w:ascii="宋体" w:hAnsi="宋体" w:eastAsia="宋体"/>
          <w:szCs w:val="21"/>
          <w:highlight w:val="none"/>
        </w:rPr>
        <w:t>组织组成，</w:t>
      </w:r>
      <w:r>
        <w:rPr>
          <w:rFonts w:hint="eastAsia" w:ascii="宋体" w:hAnsi="宋体" w:eastAsia="宋体"/>
          <w:szCs w:val="21"/>
          <w:highlight w:val="none"/>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0"/>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highlight w:val="none"/>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1"/>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39"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39"/>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highlight w:val="none"/>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2"/>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3"/>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eastAsia="宋体"/>
          <w:bCs/>
          <w:color w:val="auto"/>
          <w:szCs w:val="21"/>
          <w:highlight w:val="none"/>
          <w:lang w:val="en-US" w:eastAsia="zh-CN"/>
        </w:rPr>
        <w:t xml:space="preserve">    23.2 合同附件与合同正文具有同等的法律效力。</w:t>
      </w:r>
      <w:bookmarkStart w:id="40" w:name="_Toc20313"/>
    </w:p>
    <w:p>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第三节 政府采购合同专用条款</w:t>
      </w:r>
      <w:bookmarkEnd w:id="40"/>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第1.2（</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lang w:eastAsia="zh-CN"/>
              </w:rPr>
              <w:t>联合体具体要求</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第1.2（</w:t>
            </w:r>
            <w:r>
              <w:rPr>
                <w:rFonts w:hint="eastAsia" w:ascii="宋体" w:hAnsi="宋体" w:eastAsia="宋体"/>
                <w:szCs w:val="21"/>
                <w:highlight w:val="none"/>
                <w:lang w:val="en-US" w:eastAsia="zh-CN"/>
              </w:rPr>
              <w:t>7</w:t>
            </w:r>
            <w:r>
              <w:rPr>
                <w:rFonts w:hint="eastAsia" w:ascii="宋体" w:hAnsi="宋体" w:eastAsia="宋体"/>
                <w:szCs w:val="21"/>
                <w:highlight w:val="none"/>
              </w:rPr>
              <w:t>）项</w:t>
            </w:r>
          </w:p>
        </w:tc>
        <w:tc>
          <w:tcPr>
            <w:tcW w:w="1742" w:type="dxa"/>
            <w:vAlign w:val="center"/>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其他术语解释</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4.4款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4.6款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pPr>
              <w:snapToGrid w:val="0"/>
              <w:jc w:val="center"/>
              <w:rPr>
                <w:rFonts w:hint="default" w:eastAsia="宋体"/>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5.4款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pPr>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6.1款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.1</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包装</w:t>
            </w:r>
            <w:r>
              <w:rPr>
                <w:rFonts w:hint="eastAsia" w:ascii="宋体" w:hAnsi="宋体" w:eastAsia="宋体"/>
                <w:szCs w:val="21"/>
                <w:highlight w:val="none"/>
                <w:lang w:eastAsia="zh-CN"/>
              </w:rPr>
              <w:t>特殊要求</w:t>
            </w:r>
          </w:p>
        </w:tc>
        <w:tc>
          <w:tcPr>
            <w:tcW w:w="5170" w:type="dxa"/>
            <w:vAlign w:val="center"/>
          </w:tcPr>
          <w:p>
            <w:pPr>
              <w:rPr>
                <w:rFonts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highlight w:val="none"/>
              </w:rPr>
            </w:pP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指定现场</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运输特殊要求</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.3</w:t>
            </w:r>
            <w:r>
              <w:rPr>
                <w:rFonts w:hint="eastAsia" w:ascii="宋体" w:hAnsi="宋体" w:eastAsia="宋体"/>
                <w:szCs w:val="21"/>
                <w:highlight w:val="none"/>
                <w:lang w:val="en-US" w:eastAsia="zh-CN"/>
              </w:rPr>
              <w:t>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保险要求</w:t>
            </w:r>
          </w:p>
        </w:tc>
        <w:tc>
          <w:tcPr>
            <w:tcW w:w="5170" w:type="dxa"/>
            <w:vAlign w:val="center"/>
          </w:tcPr>
          <w:p>
            <w:pPr>
              <w:rPr>
                <w:rFonts w:hint="eastAsia" w:eastAsia="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.2（1）项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.2（3）项</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货物质量缺陷</w:t>
            </w:r>
          </w:p>
          <w:p>
            <w:pPr>
              <w:adjustRightInd w:val="0"/>
              <w:snapToGrid w:val="0"/>
              <w:jc w:val="left"/>
              <w:rPr>
                <w:rFonts w:ascii="宋体" w:hAnsi="宋体" w:eastAsia="宋体"/>
                <w:szCs w:val="21"/>
                <w:highlight w:val="none"/>
              </w:rPr>
            </w:pPr>
            <w:r>
              <w:rPr>
                <w:rFonts w:hint="eastAsia" w:ascii="宋体" w:hAnsi="宋体" w:eastAsia="宋体"/>
                <w:szCs w:val="21"/>
                <w:highlight w:val="none"/>
              </w:rPr>
              <w:t>响应时间</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highlight w:val="none"/>
                <w:lang w:val="en-US" w:eastAsia="zh-CN" w:bidi="ar-SA"/>
              </w:rPr>
            </w:pPr>
            <w:r>
              <w:rPr>
                <w:rFonts w:hint="eastAsia" w:ascii="宋体" w:hAnsi="宋体" w:eastAsia="宋体" w:cs="宋体"/>
                <w:sz w:val="22"/>
                <w:szCs w:val="21"/>
                <w:highlight w:val="none"/>
                <w:lang w:val="en-US" w:eastAsia="zh-CN" w:bidi="ar-SA"/>
              </w:rPr>
              <w:t>第11.1款</w:t>
            </w:r>
          </w:p>
        </w:tc>
        <w:tc>
          <w:tcPr>
            <w:tcW w:w="1742" w:type="dxa"/>
            <w:vAlign w:val="center"/>
          </w:tcPr>
          <w:p>
            <w:pPr>
              <w:adjustRightInd w:val="0"/>
              <w:snapToGrid w:val="0"/>
              <w:jc w:val="both"/>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其他应当保密的信息</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2</w:t>
            </w:r>
            <w:r>
              <w:rPr>
                <w:rFonts w:hint="eastAsia" w:ascii="宋体" w:hAnsi="宋体" w:eastAsia="宋体"/>
                <w:szCs w:val="21"/>
                <w:highlight w:val="none"/>
              </w:rPr>
              <w:t>.2款</w:t>
            </w:r>
          </w:p>
        </w:tc>
        <w:tc>
          <w:tcPr>
            <w:tcW w:w="1742" w:type="dxa"/>
            <w:vAlign w:val="center"/>
          </w:tcPr>
          <w:p>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rPr>
              <w:t>合同价款支付</w:t>
            </w:r>
            <w:r>
              <w:rPr>
                <w:rFonts w:hint="eastAsia" w:ascii="宋体" w:hAnsi="宋体" w:eastAsia="宋体"/>
                <w:szCs w:val="21"/>
                <w:highlight w:val="none"/>
                <w:lang w:eastAsia="zh-CN"/>
              </w:rPr>
              <w:t>时间</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13.2</w:t>
            </w:r>
            <w:r>
              <w:rPr>
                <w:rFonts w:hint="eastAsia" w:ascii="宋体" w:hAnsi="宋体" w:eastAsia="宋体"/>
                <w:szCs w:val="21"/>
                <w:highlight w:val="none"/>
              </w:rPr>
              <w:t>款</w:t>
            </w:r>
          </w:p>
        </w:tc>
        <w:tc>
          <w:tcPr>
            <w:tcW w:w="1742" w:type="dxa"/>
            <w:vAlign w:val="center"/>
          </w:tcPr>
          <w:p>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履约保证金不予退还的情形</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13.3</w:t>
            </w:r>
            <w:r>
              <w:rPr>
                <w:rFonts w:hint="eastAsia" w:ascii="宋体" w:hAnsi="宋体" w:eastAsia="宋体"/>
                <w:szCs w:val="21"/>
                <w:highlight w:val="none"/>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履约保证金退还时间及</w:t>
            </w:r>
            <w:r>
              <w:rPr>
                <w:rFonts w:hint="eastAsia" w:ascii="宋体" w:hAnsi="宋体" w:eastAsia="宋体"/>
                <w:szCs w:val="21"/>
                <w:highlight w:val="none"/>
                <w:lang w:eastAsia="zh-CN"/>
              </w:rPr>
              <w:t>逾期退还的</w:t>
            </w:r>
            <w:r>
              <w:rPr>
                <w:rFonts w:hint="eastAsia" w:ascii="宋体" w:hAnsi="宋体" w:eastAsia="宋体"/>
                <w:szCs w:val="21"/>
                <w:highlight w:val="none"/>
              </w:rPr>
              <w:t>违约金</w:t>
            </w:r>
          </w:p>
        </w:tc>
        <w:tc>
          <w:tcPr>
            <w:tcW w:w="5170" w:type="dxa"/>
            <w:vAlign w:val="center"/>
          </w:tcPr>
          <w:p>
            <w:pPr>
              <w:adjustRightInd w:val="0"/>
              <w:snapToGrid w:val="0"/>
              <w:jc w:val="left"/>
              <w:rPr>
                <w:rFonts w:ascii="宋体" w:hAnsi="宋体" w:eastAsia="宋体"/>
                <w:szCs w:val="21"/>
                <w:highlight w:val="none"/>
              </w:rPr>
            </w:pPr>
          </w:p>
        </w:tc>
      </w:tr>
      <w:tr>
        <w:tblPrEx>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3</w:t>
            </w:r>
            <w:r>
              <w:rPr>
                <w:rFonts w:hint="eastAsia" w:ascii="宋体" w:hAnsi="宋体" w:eastAsia="宋体"/>
                <w:szCs w:val="21"/>
                <w:highlight w:val="none"/>
              </w:rPr>
              <w:t>）项</w:t>
            </w:r>
          </w:p>
        </w:tc>
        <w:tc>
          <w:tcPr>
            <w:tcW w:w="1742" w:type="dxa"/>
            <w:vAlign w:val="center"/>
          </w:tcPr>
          <w:p>
            <w:pPr>
              <w:adjustRightInd w:val="0"/>
              <w:snapToGrid w:val="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运行监督、维修期限</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5</w:t>
            </w:r>
            <w:r>
              <w:rPr>
                <w:rFonts w:hint="eastAsia" w:ascii="宋体" w:hAnsi="宋体" w:eastAsia="宋体"/>
                <w:szCs w:val="21"/>
                <w:highlight w:val="none"/>
              </w:rPr>
              <w:t>）项</w:t>
            </w:r>
          </w:p>
        </w:tc>
        <w:tc>
          <w:tcPr>
            <w:tcW w:w="1742" w:type="dxa"/>
            <w:vAlign w:val="center"/>
          </w:tcPr>
          <w:p>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货物回收的约定</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乙方提供的其他服务</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1款</w:t>
            </w:r>
          </w:p>
        </w:tc>
        <w:tc>
          <w:tcPr>
            <w:tcW w:w="1742" w:type="dxa"/>
            <w:vAlign w:val="center"/>
          </w:tcPr>
          <w:p>
            <w:pPr>
              <w:adjustRightInd w:val="0"/>
              <w:snapToGrid w:val="0"/>
              <w:jc w:val="left"/>
              <w:rPr>
                <w:rFonts w:hint="eastAsia" w:ascii="宋体" w:hAnsi="宋体" w:eastAsia="宋体"/>
                <w:szCs w:val="21"/>
                <w:highlight w:val="none"/>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.2（2）项</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迟延交货赔偿费</w:t>
            </w:r>
          </w:p>
        </w:tc>
        <w:tc>
          <w:tcPr>
            <w:tcW w:w="5170" w:type="dxa"/>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3款</w:t>
            </w:r>
          </w:p>
        </w:tc>
        <w:tc>
          <w:tcPr>
            <w:tcW w:w="1742" w:type="dxa"/>
            <w:vAlign w:val="center"/>
          </w:tcPr>
          <w:p>
            <w:pPr>
              <w:adjustRightInd w:val="0"/>
              <w:snapToGrid w:val="0"/>
              <w:jc w:val="left"/>
              <w:rPr>
                <w:rFonts w:hint="eastAsia" w:ascii="宋体" w:hAnsi="宋体" w:eastAsia="宋体"/>
                <w:szCs w:val="21"/>
                <w:highlight w:val="none"/>
              </w:rPr>
            </w:pPr>
            <w:r>
              <w:rPr>
                <w:rFonts w:hint="eastAsia" w:ascii="宋体" w:hAnsi="宋体" w:eastAsia="宋体"/>
                <w:szCs w:val="21"/>
                <w:highlight w:val="none"/>
              </w:rPr>
              <w:t>逾期付款利息</w:t>
            </w:r>
          </w:p>
        </w:tc>
        <w:tc>
          <w:tcPr>
            <w:tcW w:w="5170" w:type="dxa"/>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.4</w:t>
            </w:r>
            <w:r>
              <w:rPr>
                <w:rFonts w:hint="eastAsia" w:ascii="宋体" w:hAnsi="宋体" w:eastAsia="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19</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highlight w:val="none"/>
              </w:rPr>
            </w:pPr>
            <w:r>
              <w:rPr>
                <w:rFonts w:hint="eastAsia" w:ascii="宋体" w:hAnsi="宋体" w:eastAsia="宋体"/>
                <w:szCs w:val="21"/>
                <w:highlight w:val="none"/>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pPr>
              <w:adjustRightInd w:val="0"/>
              <w:snapToGrid w:val="0"/>
              <w:ind w:firstLine="0" w:firstLineChars="0"/>
              <w:jc w:val="left"/>
              <w:rPr>
                <w:rFonts w:ascii="宋体" w:hAnsi="宋体" w:eastAsia="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pPr>
              <w:adjustRightInd w:val="0"/>
              <w:snapToGrid w:val="0"/>
              <w:jc w:val="center"/>
              <w:rPr>
                <w:rFonts w:ascii="宋体" w:hAnsi="宋体" w:eastAsia="宋体"/>
                <w:szCs w:val="21"/>
                <w:highlight w:val="none"/>
              </w:rPr>
            </w:pPr>
            <w:r>
              <w:rPr>
                <w:rFonts w:hint="eastAsia" w:ascii="宋体" w:hAnsi="宋体" w:eastAsia="宋体"/>
                <w:szCs w:val="21"/>
                <w:highlight w:val="none"/>
              </w:rPr>
              <w:t>第2</w:t>
            </w:r>
            <w:r>
              <w:rPr>
                <w:rFonts w:hint="eastAsia" w:ascii="宋体" w:hAnsi="宋体" w:eastAsia="宋体"/>
                <w:szCs w:val="21"/>
                <w:highlight w:val="none"/>
                <w:lang w:val="en-US" w:eastAsia="zh-CN"/>
              </w:rPr>
              <w:t>3.1</w:t>
            </w:r>
            <w:r>
              <w:rPr>
                <w:rFonts w:hint="eastAsia" w:ascii="宋体" w:hAnsi="宋体" w:eastAsia="宋体"/>
                <w:szCs w:val="21"/>
                <w:highlight w:val="none"/>
                <w:lang w:eastAsia="zh-CN"/>
              </w:rPr>
              <w:t>款</w:t>
            </w:r>
          </w:p>
        </w:tc>
        <w:tc>
          <w:tcPr>
            <w:tcW w:w="1742" w:type="dxa"/>
            <w:vAlign w:val="center"/>
          </w:tcPr>
          <w:p>
            <w:pPr>
              <w:adjustRightInd w:val="0"/>
              <w:snapToGrid w:val="0"/>
              <w:jc w:val="left"/>
              <w:rPr>
                <w:rFonts w:ascii="宋体" w:hAnsi="宋体" w:eastAsia="宋体"/>
                <w:szCs w:val="21"/>
                <w:highlight w:val="none"/>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highlight w:val="none"/>
                <w:lang w:val="en-US" w:eastAsia="zh-CN"/>
              </w:rPr>
            </w:pPr>
          </w:p>
        </w:tc>
      </w:tr>
    </w:tbl>
    <w:p>
      <w:pPr>
        <w:rPr>
          <w:rFonts w:eastAsia="宋体"/>
          <w:highlight w:val="none"/>
        </w:rPr>
      </w:pPr>
    </w:p>
    <w:p>
      <w:pPr>
        <w:widowControl/>
        <w:jc w:val="left"/>
        <w:rPr>
          <w:rFonts w:ascii="Arial" w:hAnsi="Arial" w:eastAsia="宋体" w:cs="Times New Roman"/>
          <w:color w:val="FF0000"/>
          <w:szCs w:val="24"/>
          <w:highlight w:val="none"/>
        </w:rPr>
      </w:pPr>
    </w:p>
    <w:p>
      <w:pPr>
        <w:widowControl/>
        <w:jc w:val="left"/>
        <w:rPr>
          <w:rFonts w:ascii="宋体" w:hAnsi="宋体" w:eastAsia="黑体" w:cs="Times New Roman"/>
          <w:b/>
          <w:bCs/>
          <w:color w:val="0000FF"/>
          <w:kern w:val="44"/>
          <w:sz w:val="36"/>
          <w:szCs w:val="44"/>
          <w:highlight w:val="none"/>
        </w:rPr>
      </w:pPr>
      <w:r>
        <w:rPr>
          <w:rFonts w:ascii="宋体" w:hAnsi="宋体" w:eastAsia="黑体" w:cs="Times New Roman"/>
          <w:b/>
          <w:bCs/>
          <w:color w:val="0000FF"/>
          <w:kern w:val="44"/>
          <w:sz w:val="36"/>
          <w:szCs w:val="44"/>
          <w:highlight w:val="none"/>
        </w:rPr>
        <w:br w:type="page"/>
      </w:r>
    </w:p>
    <w:p>
      <w:pPr>
        <w:keepNext/>
        <w:keepLines/>
        <w:spacing w:before="340" w:afterLines="25" w:line="578" w:lineRule="auto"/>
        <w:jc w:val="center"/>
        <w:outlineLvl w:val="0"/>
        <w:rPr>
          <w:rFonts w:ascii="Arial" w:hAnsi="Arial" w:eastAsia="宋体" w:cs="Times New Roman"/>
          <w:b/>
          <w:bCs/>
          <w:kern w:val="44"/>
          <w:sz w:val="32"/>
          <w:szCs w:val="32"/>
          <w:highlight w:val="none"/>
        </w:rPr>
      </w:pPr>
      <w:r>
        <w:rPr>
          <w:rFonts w:hint="eastAsia" w:ascii="Arial" w:hAnsi="Arial" w:eastAsia="宋体" w:cs="Times New Roman"/>
          <w:b/>
          <w:bCs/>
          <w:kern w:val="44"/>
          <w:sz w:val="32"/>
          <w:szCs w:val="32"/>
          <w:highlight w:val="none"/>
        </w:rPr>
        <w:t>第二册  通用条款（公开招标）</w:t>
      </w:r>
    </w:p>
    <w:p>
      <w:pPr>
        <w:pStyle w:val="28"/>
        <w:keepNext/>
        <w:keepLines/>
        <w:numPr>
          <w:ilvl w:val="0"/>
          <w:numId w:val="14"/>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41" w:name="_Hlk72399513"/>
      <w:r>
        <w:rPr>
          <w:rFonts w:hint="eastAsia" w:asciiTheme="majorHAnsi" w:hAnsiTheme="majorHAnsi" w:eastAsiaTheme="majorEastAsia" w:cstheme="majorBidi"/>
          <w:b/>
          <w:bCs/>
          <w:sz w:val="28"/>
          <w:szCs w:val="28"/>
          <w:highlight w:val="none"/>
        </w:rPr>
        <w:t>总则</w:t>
      </w:r>
    </w:p>
    <w:bookmarkEnd w:id="41"/>
    <w:p>
      <w:pPr>
        <w:rPr>
          <w:rFonts w:ascii="黑体" w:hAnsi="宋体" w:eastAsia="黑体"/>
          <w:sz w:val="24"/>
          <w:highlight w:val="none"/>
        </w:rPr>
      </w:pPr>
      <w:bookmarkStart w:id="42" w:name="_Hlk72439706"/>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3" w:name="_Hlk72399729"/>
      <w:r>
        <w:rPr>
          <w:rFonts w:hint="eastAsia" w:ascii="宋体" w:hAnsi="宋体"/>
          <w:szCs w:val="21"/>
          <w:highlight w:val="none"/>
        </w:rPr>
        <w:t>如有需要，政府集中采购机构可以对通用条款的内容进行补充。</w:t>
      </w:r>
      <w:bookmarkEnd w:id="43"/>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宝安</w:t>
      </w:r>
      <w:r>
        <w:rPr>
          <w:rFonts w:hint="eastAsia" w:ascii="宋体" w:hAnsi="宋体"/>
          <w:b/>
          <w:bCs/>
          <w:color w:val="FF0000"/>
          <w:szCs w:val="21"/>
          <w:highlight w:val="none"/>
        </w:rPr>
        <w:t>分公司）</w:t>
      </w:r>
      <w:r>
        <w:rPr>
          <w:rFonts w:hint="eastAsia" w:ascii="宋体" w:hAnsi="宋体"/>
          <w:szCs w:val="21"/>
          <w:highlight w:val="none"/>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宝安</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44"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jc w:val="left"/>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政府采购支持本国产品、支持中小企业、监狱企业和残疾人福利性单位发展，支持乡村产业振兴，支持创新、节能减排、绿色环保等。</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5"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5"/>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4"/>
    <w:p>
      <w:pPr>
        <w:ind w:firstLine="411" w:firstLineChars="196"/>
        <w:rPr>
          <w:rFonts w:ascii="宋体" w:hAnsi="宋体"/>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6"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6"/>
    </w:p>
    <w:p>
      <w:pPr>
        <w:rPr>
          <w:rFonts w:ascii="宋体" w:hAnsi="宋体"/>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7"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7"/>
    <w:p>
      <w:pPr>
        <w:rPr>
          <w:rFonts w:ascii="黑体" w:hAnsi="宋体" w:eastAsia="黑体"/>
          <w:sz w:val="24"/>
          <w:highlight w:val="none"/>
        </w:rPr>
      </w:pPr>
      <w:r>
        <w:rPr>
          <w:rFonts w:hint="eastAsia" w:ascii="黑体" w:hAnsi="宋体" w:eastAsia="黑体"/>
          <w:sz w:val="24"/>
          <w:highlight w:val="none"/>
        </w:rPr>
        <w:t>15．</w:t>
      </w:r>
      <w:bookmarkStart w:id="48"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48"/>
    <w:p>
      <w:pPr>
        <w:rPr>
          <w:rFonts w:ascii="黑体" w:hAnsi="宋体" w:eastAsia="黑体"/>
          <w:sz w:val="24"/>
          <w:highlight w:val="none"/>
        </w:rPr>
      </w:pPr>
      <w:r>
        <w:rPr>
          <w:rFonts w:hint="eastAsia" w:ascii="黑体" w:hAnsi="宋体" w:eastAsia="黑体"/>
          <w:sz w:val="24"/>
          <w:highlight w:val="none"/>
        </w:rPr>
        <w:t>18．</w:t>
      </w:r>
      <w:bookmarkStart w:id="49"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49"/>
    <w:p>
      <w:pPr>
        <w:rPr>
          <w:rFonts w:ascii="黑体" w:hAnsi="宋体" w:eastAsia="黑体"/>
          <w:sz w:val="24"/>
          <w:highlight w:val="none"/>
        </w:rPr>
      </w:pPr>
      <w:r>
        <w:rPr>
          <w:rFonts w:hint="eastAsia" w:ascii="黑体" w:hAnsi="宋体" w:eastAsia="黑体"/>
          <w:sz w:val="24"/>
          <w:highlight w:val="none"/>
        </w:rPr>
        <w:t>19．</w:t>
      </w:r>
      <w:bookmarkStart w:id="50"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w:t>
      </w:r>
      <w:bookmarkStart w:id="51" w:name="_Hlk71407299"/>
      <w:r>
        <w:rPr>
          <w:rFonts w:hint="eastAsia" w:ascii="宋体" w:hAnsi="宋体"/>
          <w:szCs w:val="21"/>
          <w:highlight w:val="none"/>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1"/>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0"/>
    <w:p>
      <w:pPr>
        <w:ind w:firstLine="411" w:firstLineChars="196"/>
        <w:rPr>
          <w:rFonts w:ascii="宋体" w:hAnsi="宋体"/>
          <w:szCs w:val="21"/>
          <w:highlight w:val="none"/>
        </w:rPr>
      </w:pPr>
      <w:bookmarkStart w:id="52"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2"/>
    <w:p>
      <w:pPr>
        <w:rPr>
          <w:rFonts w:ascii="黑体" w:hAnsi="宋体" w:eastAsia="黑体"/>
          <w:sz w:val="24"/>
          <w:highlight w:val="none"/>
        </w:rPr>
      </w:pPr>
      <w:r>
        <w:rPr>
          <w:rFonts w:hint="eastAsia" w:ascii="黑体" w:hAnsi="宋体" w:eastAsia="黑体"/>
          <w:sz w:val="24"/>
          <w:highlight w:val="none"/>
        </w:rPr>
        <w:t>21．</w:t>
      </w:r>
      <w:bookmarkStart w:id="53"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3"/>
    <w:p>
      <w:pPr>
        <w:rPr>
          <w:rFonts w:ascii="黑体" w:hAnsi="宋体" w:eastAsia="黑体"/>
          <w:sz w:val="24"/>
          <w:highlight w:val="none"/>
        </w:rPr>
      </w:pPr>
      <w:r>
        <w:rPr>
          <w:rFonts w:hint="eastAsia" w:ascii="黑体" w:hAnsi="宋体" w:eastAsia="黑体"/>
          <w:sz w:val="24"/>
          <w:highlight w:val="none"/>
        </w:rPr>
        <w:t>23．</w:t>
      </w:r>
      <w:bookmarkStart w:id="54"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ascii="宋体" w:hAnsi="宋体"/>
          <w:highlight w:val="none"/>
        </w:rPr>
      </w:pPr>
      <w:r>
        <w:rPr>
          <w:rFonts w:hint="eastAsia" w:ascii="宋体" w:hAnsi="宋体"/>
          <w:highlight w:val="none"/>
        </w:rPr>
        <w:t>23.1投标人应准备所投项目的电子投标文件一份。</w:t>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4"/>
    </w:p>
    <w:p>
      <w:pPr>
        <w:ind w:firstLine="411" w:firstLineChars="196"/>
        <w:rPr>
          <w:rFonts w:ascii="宋体" w:hAnsi="宋体"/>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55" w:name="_Hlk72405459"/>
      <w:r>
        <w:rPr>
          <w:rFonts w:hint="eastAsia" w:ascii="黑体" w:hAnsi="宋体" w:eastAsia="黑体"/>
          <w:sz w:val="24"/>
          <w:highlight w:val="none"/>
        </w:rPr>
        <w:t>24．投标文件的保密</w:t>
      </w:r>
    </w:p>
    <w:p>
      <w:pPr>
        <w:ind w:firstLine="411" w:firstLineChars="196"/>
        <w:rPr>
          <w:rFonts w:hint="eastAsia" w:ascii="宋体" w:hAnsi="宋体" w:eastAsiaTheme="minorEastAsia"/>
          <w:highlight w:val="none"/>
          <w:lang w:eastAsia="zh-CN"/>
        </w:rPr>
      </w:pPr>
      <w:r>
        <w:rPr>
          <w:rFonts w:hint="eastAsia" w:ascii="宋体" w:hAnsi="宋体"/>
          <w:highlight w:val="none"/>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highlight w:val="none"/>
          <w:lang w:eastAsia="zh-CN"/>
        </w:rPr>
        <w:t>。加密后会提示文件生成成功！(注意：加密的投标文件开标时须使用加密文件时使用的锁在项目规定时间内解密！)</w:t>
      </w:r>
    </w:p>
    <w:p>
      <w:pPr>
        <w:rPr>
          <w:rFonts w:ascii="宋体" w:hAnsi="宋体"/>
          <w:b/>
          <w:highlight w:val="none"/>
        </w:rPr>
      </w:pPr>
      <w:r>
        <w:rPr>
          <w:rFonts w:hint="eastAsia" w:ascii="宋体" w:hAnsi="宋体"/>
          <w:b/>
          <w:highlight w:val="none"/>
        </w:rPr>
        <w:t>24.2若采购项目出现延期情况：</w:t>
      </w:r>
    </w:p>
    <w:p>
      <w:pPr>
        <w:ind w:firstLine="422" w:firstLineChars="200"/>
        <w:rPr>
          <w:rFonts w:ascii="黑体" w:hAnsi="宋体" w:eastAsia="黑体"/>
          <w:b/>
          <w:sz w:val="24"/>
          <w:highlight w:val="none"/>
        </w:rPr>
      </w:pPr>
      <w:r>
        <w:rPr>
          <w:rFonts w:hint="eastAsia" w:ascii="宋体" w:hAnsi="宋体"/>
          <w:b/>
          <w:highlight w:val="none"/>
        </w:rPr>
        <w:t>如果供下载的招标文件有更新，投标人必须重新下载招标文件、重新制作投标文件、重新加密投标文件、重新上传投标文件。</w:t>
      </w:r>
    </w:p>
    <w:p>
      <w:pPr>
        <w:rPr>
          <w:rFonts w:ascii="黑体" w:hAnsi="宋体" w:eastAsia="黑体"/>
          <w:sz w:val="24"/>
          <w:highlight w:val="none"/>
        </w:rPr>
      </w:pPr>
      <w:r>
        <w:rPr>
          <w:rFonts w:hint="eastAsia" w:ascii="黑体" w:hAnsi="宋体" w:eastAsia="黑体"/>
          <w:sz w:val="24"/>
          <w:highlight w:val="none"/>
        </w:rPr>
        <w:t>25．上传投标文件及投标截止日期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1实行网上投标，</w:t>
      </w:r>
      <w:r>
        <w:rPr>
          <w:rFonts w:ascii="宋体" w:hAnsi="宋体"/>
          <w:highlight w:val="none"/>
        </w:rPr>
        <w:t>投标人必须</w:t>
      </w:r>
      <w:r>
        <w:rPr>
          <w:rFonts w:hint="eastAsia" w:ascii="宋体" w:hAnsi="宋体"/>
          <w:highlight w:val="none"/>
        </w:rPr>
        <w:t>在招标</w:t>
      </w:r>
      <w:r>
        <w:rPr>
          <w:rFonts w:ascii="宋体" w:hAnsi="宋体"/>
          <w:highlight w:val="none"/>
        </w:rPr>
        <w:t>文件规定的投标截止时间前</w:t>
      </w:r>
      <w:r>
        <w:rPr>
          <w:rFonts w:hint="eastAsia" w:ascii="宋体" w:hAnsi="宋体"/>
          <w:highlight w:val="none"/>
        </w:rPr>
        <w:t>用电子密钥登录“深圳市自行采购系统（https://trade.szggzy.com/ggzy/center/#/login）”上传投标文件。如上传过程中遇到问题，可拨打</w:t>
      </w:r>
      <w:r>
        <w:rPr>
          <w:rFonts w:hint="eastAsia" w:ascii="宋体" w:hAnsi="宋体"/>
          <w:highlight w:val="none"/>
          <w:lang w:val="en-US" w:eastAsia="zh-CN"/>
        </w:rPr>
        <w:t>采购公告中的技术支持电话</w:t>
      </w:r>
      <w:r>
        <w:rPr>
          <w:rFonts w:hint="eastAsia" w:ascii="宋体" w:hAnsi="宋体"/>
          <w:highlight w:val="none"/>
        </w:rPr>
        <w:t>。如多次上传均告失败，请在投标截止时间之前携带加密后的电子投标文件送达至</w:t>
      </w:r>
      <w:r>
        <w:rPr>
          <w:rFonts w:hint="eastAsia" w:ascii="宋体" w:hAnsi="宋体"/>
          <w:b/>
          <w:bCs/>
          <w:szCs w:val="21"/>
          <w:highlight w:val="none"/>
        </w:rPr>
        <w:t>深圳公共资源交易中心（深圳交易集团有限公司</w:t>
      </w:r>
      <w:r>
        <w:rPr>
          <w:rFonts w:hint="eastAsia" w:ascii="宋体" w:hAnsi="宋体"/>
          <w:b/>
          <w:bCs/>
          <w:szCs w:val="21"/>
          <w:highlight w:val="none"/>
          <w:lang w:val="en-US" w:eastAsia="zh-CN"/>
        </w:rPr>
        <w:t>宝安</w:t>
      </w:r>
      <w:r>
        <w:rPr>
          <w:rFonts w:hint="eastAsia" w:ascii="宋体" w:hAnsi="宋体"/>
          <w:b/>
          <w:bCs/>
          <w:szCs w:val="21"/>
          <w:highlight w:val="none"/>
        </w:rPr>
        <w:t>分公司）</w:t>
      </w:r>
      <w:r>
        <w:rPr>
          <w:rFonts w:hint="eastAsia" w:ascii="宋体" w:hAnsi="宋体"/>
          <w:b/>
          <w:bCs/>
          <w:highlight w:val="none"/>
          <w:lang w:val="en-US" w:eastAsia="zh-CN"/>
        </w:rPr>
        <w:t>一</w:t>
      </w:r>
      <w:r>
        <w:rPr>
          <w:rFonts w:hint="eastAsia" w:ascii="宋体" w:hAnsi="宋体"/>
          <w:b/>
          <w:bCs/>
          <w:highlight w:val="none"/>
        </w:rPr>
        <w:t>楼</w:t>
      </w:r>
      <w:r>
        <w:rPr>
          <w:rFonts w:hint="eastAsia" w:ascii="宋体" w:hAnsi="宋体"/>
          <w:b/>
          <w:bCs/>
          <w:highlight w:val="none"/>
          <w:lang w:val="en-US" w:eastAsia="zh-CN"/>
        </w:rPr>
        <w:t>服务大厅</w:t>
      </w:r>
      <w:r>
        <w:rPr>
          <w:rFonts w:hint="eastAsia" w:ascii="宋体" w:hAnsi="宋体"/>
          <w:b/>
          <w:bCs/>
          <w:highlight w:val="none"/>
        </w:rPr>
        <w:t>（地址：</w:t>
      </w:r>
      <w:r>
        <w:rPr>
          <w:rFonts w:hint="eastAsia" w:ascii="宋体" w:hAnsi="宋体"/>
          <w:b/>
          <w:bCs/>
          <w:highlight w:val="none"/>
          <w:lang w:val="en-US" w:eastAsia="zh-CN"/>
        </w:rPr>
        <w:t>深圳市宝安区湖滨东路40号</w:t>
      </w:r>
      <w:r>
        <w:rPr>
          <w:rFonts w:hint="eastAsia" w:ascii="宋体" w:hAnsi="宋体"/>
          <w:b/>
          <w:bCs/>
          <w:highlight w:val="none"/>
        </w:rPr>
        <w:t>）</w:t>
      </w:r>
      <w:r>
        <w:rPr>
          <w:rFonts w:ascii="宋体" w:hAnsi="宋体"/>
          <w:b/>
          <w:bCs/>
          <w:highlight w:val="none"/>
        </w:rPr>
        <w:t>协助上传</w:t>
      </w:r>
      <w:r>
        <w:rPr>
          <w:rFonts w:hint="eastAsia" w:ascii="宋体" w:hAnsi="宋体"/>
          <w:b/>
          <w:bCs/>
          <w:highlight w:val="none"/>
        </w:rPr>
        <w:t>，</w:t>
      </w:r>
      <w:r>
        <w:rPr>
          <w:rFonts w:ascii="宋体" w:hAnsi="宋体"/>
          <w:b/>
          <w:bCs/>
          <w:highlight w:val="none"/>
        </w:rPr>
        <w:t>但上传过程</w:t>
      </w:r>
      <w:r>
        <w:rPr>
          <w:rFonts w:hint="eastAsia" w:ascii="宋体" w:hAnsi="宋体"/>
          <w:b/>
          <w:bCs/>
          <w:highlight w:val="none"/>
        </w:rPr>
        <w:t>中</w:t>
      </w:r>
      <w:r>
        <w:rPr>
          <w:rFonts w:ascii="宋体" w:hAnsi="宋体"/>
          <w:b/>
          <w:bCs/>
          <w:highlight w:val="none"/>
        </w:rPr>
        <w:t>投标截止时间到达仍无法上传成功的，由投标人自行负责</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p>
      <w:pPr>
        <w:ind w:firstLine="411" w:firstLineChars="196"/>
        <w:rPr>
          <w:rFonts w:ascii="宋体" w:hAnsi="宋体"/>
          <w:highlight w:val="none"/>
        </w:rPr>
      </w:pPr>
    </w:p>
    <w:bookmarkEnd w:id="55"/>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56"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6"/>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59" w:firstLineChars="171"/>
        <w:rPr>
          <w:rFonts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w:t>
      </w:r>
      <w:r>
        <w:rPr>
          <w:rFonts w:hint="eastAsia" w:ascii="宋体" w:hAnsi="宋体"/>
          <w:highlight w:val="none"/>
        </w:rPr>
        <w:t>深圳市自行采购系统（https://trade.szggzy.com/ggzy/center/#/login）</w:t>
      </w:r>
      <w:r>
        <w:rPr>
          <w:rFonts w:hint="eastAsia" w:ascii="宋体" w:hAnsi="宋体"/>
          <w:szCs w:val="21"/>
          <w:highlight w:val="none"/>
        </w:rPr>
        <w:t>”，使用本单位制作电子投标文件同一个电子密钥进行在线解密、查询开标情况。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ascii="宋体" w:hAnsi="宋体"/>
          <w:highlight w:val="none"/>
        </w:rPr>
      </w:pPr>
      <w:bookmarkStart w:id="57"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7"/>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rPr>
          <w:rFonts w:hint="eastAsia"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58"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58"/>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59" w:name="_Toc73517673"/>
      <w:bookmarkStart w:id="60" w:name="_Toc73518151"/>
      <w:bookmarkStart w:id="61" w:name="_Toc100052400"/>
      <w:bookmarkStart w:id="62" w:name="_Toc73521669"/>
      <w:bookmarkStart w:id="63" w:name="_Toc73521581"/>
      <w:r>
        <w:rPr>
          <w:rFonts w:hint="eastAsia" w:ascii="黑体" w:hAnsi="宋体" w:eastAsia="黑体"/>
          <w:sz w:val="24"/>
          <w:highlight w:val="none"/>
        </w:rPr>
        <w:t>34．错误的修正</w:t>
      </w:r>
      <w:bookmarkEnd w:id="59"/>
      <w:bookmarkEnd w:id="60"/>
      <w:bookmarkEnd w:id="61"/>
      <w:bookmarkEnd w:id="62"/>
      <w:bookmarkEnd w:id="63"/>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实地考察或资料查验</w:t>
      </w:r>
    </w:p>
    <w:p>
      <w:pPr>
        <w:ind w:firstLine="411" w:firstLineChars="196"/>
        <w:rPr>
          <w:rFonts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64"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4"/>
      <w:r>
        <w:rPr>
          <w:rFonts w:hint="eastAsia" w:ascii="宋体" w:hAnsi="宋体"/>
          <w:bCs/>
          <w:color w:val="FF0000"/>
          <w:szCs w:val="21"/>
          <w:highlight w:val="none"/>
        </w:rPr>
        <w:t xml:space="preserve">  </w:t>
      </w:r>
      <w:r>
        <w:rPr>
          <w:rFonts w:hint="eastAsia" w:ascii="宋体" w:hAnsi="宋体"/>
          <w:bCs/>
          <w:szCs w:val="21"/>
          <w:highlight w:val="none"/>
        </w:rPr>
        <w:t xml:space="preserve">                                                                                                                                                                                                                                                                                                                                                                                                                                                                                                                                                                                                                                                                                                                                                                                                                                                                                                                                                                                                                                                                                                                                                                                                                                                                                                                                                                                                                                                                                                                                                                                                                                                                                                                                                                                                                                                                                                                                                                                                                                                                                                                                                                                                                                                                                                                                                                                                                                                                                                                                                                                                                                                                                                                                                                                                                                                                                                                                                                                                                           </w:t>
      </w:r>
    </w:p>
    <w:p>
      <w:pPr>
        <w:ind w:firstLine="413" w:firstLineChars="196"/>
        <w:rPr>
          <w:rFonts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 xml:space="preserve"> 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bookmarkStart w:id="65" w:name="_Hlk73782795"/>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w:t>
      </w:r>
      <w:bookmarkStart w:id="66" w:name="_Hlk73821177"/>
      <w:r>
        <w:rPr>
          <w:rFonts w:hint="eastAsia" w:ascii="ˎ̥" w:hAnsi="ˎ̥"/>
          <w:highlight w:val="none"/>
          <w:lang w:val="en-US" w:eastAsia="zh-CN"/>
        </w:rPr>
        <w:t>唯一候选</w:t>
      </w:r>
      <w:r>
        <w:rPr>
          <w:rFonts w:hint="eastAsia" w:ascii="ˎ̥" w:hAnsi="ˎ̥"/>
          <w:highlight w:val="none"/>
        </w:rPr>
        <w:t>中标供应商</w:t>
      </w:r>
      <w:bookmarkEnd w:id="66"/>
      <w:r>
        <w:rPr>
          <w:rFonts w:ascii="ˎ̥" w:hAnsi="ˎ̥"/>
          <w:highlight w:val="none"/>
        </w:rPr>
        <w:t>。</w:t>
      </w:r>
    </w:p>
    <w:p>
      <w:pPr>
        <w:ind w:firstLine="411" w:firstLineChars="196"/>
        <w:rPr>
          <w:rFonts w:hint="eastAsia" w:ascii="ˎ̥" w:hAnsi="ˎ̥" w:eastAsiaTheme="minorEastAsia"/>
          <w:highlight w:val="none"/>
          <w:lang w:eastAsia="zh-CN"/>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为唯一</w:t>
      </w:r>
      <w:r>
        <w:rPr>
          <w:rFonts w:hint="eastAsia" w:ascii="ˎ̥" w:hAnsi="ˎ̥"/>
          <w:highlight w:val="none"/>
          <w:lang w:val="en-US" w:eastAsia="zh-CN"/>
        </w:rPr>
        <w:t>候选</w:t>
      </w:r>
      <w:r>
        <w:rPr>
          <w:rFonts w:hint="eastAsia" w:ascii="ˎ̥" w:hAnsi="ˎ̥"/>
          <w:highlight w:val="none"/>
        </w:rPr>
        <w:t>中标供应商</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r>
        <w:rPr>
          <w:rFonts w:hint="eastAsia" w:ascii="ˎ̥" w:hAnsi="ˎ̥"/>
          <w:highlight w:val="none"/>
          <w:lang w:eastAsia="zh-CN"/>
        </w:rPr>
        <w:t>（</w:t>
      </w:r>
      <w:r>
        <w:rPr>
          <w:rFonts w:hint="eastAsia" w:ascii="ˎ̥" w:hAnsi="ˎ̥"/>
          <w:highlight w:val="none"/>
          <w:lang w:val="en-US" w:eastAsia="zh-CN"/>
        </w:rPr>
        <w:t>如“专用条款”中另有规定的以“专用条款”相关规定内容为准</w:t>
      </w:r>
      <w:r>
        <w:rPr>
          <w:rFonts w:hint="eastAsia" w:ascii="ˎ̥" w:hAnsi="ˎ̥"/>
          <w:highlight w:val="none"/>
          <w:lang w:eastAsia="zh-CN"/>
        </w:rPr>
        <w:t>）</w:t>
      </w:r>
      <w:r>
        <w:rPr>
          <w:rFonts w:hint="eastAsia" w:ascii="ˎ̥" w:hAnsi="ˎ̥"/>
          <w:highlight w:val="none"/>
        </w:rPr>
        <w:t>。如唯一候选中标供应商被认定投标或中标无效，采购人应当重新开展采购活动</w:t>
      </w:r>
      <w:r>
        <w:rPr>
          <w:rFonts w:hint="eastAsia" w:ascii="ˎ̥" w:hAnsi="ˎ̥"/>
          <w:highlight w:val="none"/>
          <w:lang w:eastAsia="zh-CN"/>
        </w:rPr>
        <w:t>。</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w:t>
      </w:r>
      <w:r>
        <w:rPr>
          <w:highlight w:val="none"/>
        </w:rPr>
        <w:t>深圳市财政局关于印发</w:t>
      </w:r>
      <w:r>
        <w:rPr>
          <w:rFonts w:hint="eastAsia" w:ascii="宋体" w:hAnsi="宋体"/>
          <w:highlight w:val="none"/>
        </w:rPr>
        <w:t>〈</w:t>
      </w:r>
      <w:r>
        <w:rPr>
          <w:highlight w:val="none"/>
        </w:rPr>
        <w:t>深圳市政府采购评标定标分离管理办法</w:t>
      </w:r>
      <w:r>
        <w:rPr>
          <w:rFonts w:hint="eastAsia" w:ascii="宋体" w:hAnsi="宋体"/>
          <w:highlight w:val="none"/>
        </w:rPr>
        <w:t>〉</w:t>
      </w:r>
      <w:r>
        <w:rPr>
          <w:highlight w:val="none"/>
        </w:rPr>
        <w:t>的通知</w:t>
      </w:r>
      <w:r>
        <w:rPr>
          <w:rFonts w:hint="eastAsia"/>
          <w:highlight w:val="none"/>
        </w:rPr>
        <w:t>》（深财规【2</w:t>
      </w:r>
      <w:r>
        <w:rPr>
          <w:highlight w:val="none"/>
        </w:rPr>
        <w:t>020</w:t>
      </w:r>
      <w:r>
        <w:rPr>
          <w:rFonts w:hint="eastAsia"/>
          <w:highlight w:val="none"/>
        </w:rPr>
        <w:t>】1号）执行。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bookmarkEnd w:id="65"/>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pPr>
        <w:ind w:firstLine="411" w:firstLineChars="196"/>
        <w:rPr>
          <w:rFonts w:ascii="宋体" w:hAnsi="宋体"/>
          <w:szCs w:val="21"/>
          <w:highlight w:val="none"/>
        </w:rPr>
      </w:pPr>
    </w:p>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3"/>
        <w:numPr>
          <w:ilvl w:val="0"/>
          <w:numId w:val="15"/>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pPr>
        <w:rPr>
          <w:rFonts w:ascii="黑体" w:hAnsi="宋体" w:eastAsia="黑体"/>
          <w:sz w:val="24"/>
          <w:highlight w:val="none"/>
        </w:rPr>
      </w:pPr>
      <w:bookmarkStart w:id="74" w:name="_Toc100052408"/>
      <w:bookmarkStart w:id="75" w:name="_Toc73521674"/>
      <w:bookmarkStart w:id="76" w:name="_Toc73521586"/>
      <w:bookmarkStart w:id="77" w:name="_Toc73517679"/>
      <w:bookmarkStart w:id="78" w:name="_Toc73518157"/>
      <w:bookmarkStart w:id="79" w:name="_Hlk72439088"/>
      <w:r>
        <w:rPr>
          <w:rFonts w:hint="eastAsia" w:ascii="黑体" w:hAnsi="宋体" w:eastAsia="黑体"/>
          <w:sz w:val="24"/>
          <w:highlight w:val="none"/>
        </w:rPr>
        <w:t>43．合同授予标准</w:t>
      </w:r>
      <w:bookmarkEnd w:id="74"/>
      <w:bookmarkEnd w:id="75"/>
      <w:bookmarkEnd w:id="76"/>
      <w:bookmarkEnd w:id="77"/>
      <w:bookmarkEnd w:id="78"/>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80" w:name="_Toc73518158"/>
      <w:bookmarkStart w:id="81" w:name="_Toc73517680"/>
      <w:bookmarkStart w:id="82" w:name="_Toc100052409"/>
      <w:bookmarkStart w:id="83" w:name="_Toc73521675"/>
      <w:bookmarkStart w:id="84" w:name="_Toc73521587"/>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5" w:name="_Toc73521677"/>
      <w:bookmarkStart w:id="86" w:name="_Toc73517682"/>
      <w:bookmarkStart w:id="87" w:name="_Toc73521589"/>
      <w:bookmarkStart w:id="88" w:name="_Toc73518160"/>
      <w:bookmarkStart w:id="89" w:name="_Toc100052410"/>
      <w:r>
        <w:rPr>
          <w:rFonts w:hint="eastAsia" w:ascii="黑体" w:hAnsi="宋体" w:eastAsia="黑体"/>
          <w:sz w:val="24"/>
          <w:highlight w:val="none"/>
        </w:rPr>
        <w:t>45．合同的签订</w:t>
      </w:r>
      <w:bookmarkEnd w:id="85"/>
      <w:bookmarkEnd w:id="86"/>
      <w:bookmarkEnd w:id="87"/>
      <w:bookmarkEnd w:id="88"/>
      <w:bookmarkEnd w:id="89"/>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90" w:name="_Toc100052411"/>
      <w:bookmarkStart w:id="91" w:name="_Toc73518161"/>
      <w:bookmarkStart w:id="92" w:name="_Toc73521678"/>
      <w:bookmarkStart w:id="93" w:name="_Toc73517683"/>
      <w:bookmarkStart w:id="94" w:name="_Toc73521590"/>
      <w:r>
        <w:rPr>
          <w:rFonts w:hint="eastAsia" w:ascii="黑体" w:hAnsi="宋体" w:eastAsia="黑体"/>
          <w:sz w:val="24"/>
          <w:highlight w:val="none"/>
        </w:rPr>
        <w:t>46．履约担保</w:t>
      </w:r>
      <w:bookmarkEnd w:id="90"/>
      <w:bookmarkEnd w:id="91"/>
      <w:bookmarkEnd w:id="92"/>
      <w:bookmarkEnd w:id="93"/>
      <w:bookmarkEnd w:id="94"/>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rPr>
          <w:rFonts w:ascii="黑体" w:hAnsi="宋体" w:eastAsia="黑体"/>
          <w:sz w:val="24"/>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pPr>
        <w:pStyle w:val="3"/>
        <w:numPr>
          <w:ilvl w:val="0"/>
          <w:numId w:val="15"/>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w:t>
      </w:r>
      <w:bookmarkStart w:id="96" w:name="_Hlk75374941"/>
      <w:r>
        <w:rPr>
          <w:rFonts w:hint="eastAsia" w:ascii="宋体" w:hAnsi="宋体"/>
          <w:szCs w:val="21"/>
          <w:highlight w:val="none"/>
        </w:rPr>
        <w:t>以联合体形式参与的，质疑应当由组成联合体的所有成员共同提出</w:t>
      </w:r>
      <w:bookmarkEnd w:id="96"/>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ascii="宋体" w:hAnsi="宋体"/>
          <w:b/>
          <w:bCs/>
          <w:szCs w:val="21"/>
          <w:highlight w:val="none"/>
        </w:rPr>
      </w:pPr>
      <w:r>
        <w:rPr>
          <w:rFonts w:hint="eastAsia" w:ascii="宋体" w:hAnsi="宋体"/>
          <w:b/>
          <w:bCs/>
          <w:szCs w:val="21"/>
          <w:highlight w:val="none"/>
        </w:rPr>
        <w:t>地址：深圳公共资源交易中心（深圳交易集团有限公司</w:t>
      </w:r>
      <w:r>
        <w:rPr>
          <w:rFonts w:hint="eastAsia" w:ascii="宋体" w:hAnsi="宋体"/>
          <w:b/>
          <w:bCs/>
          <w:szCs w:val="21"/>
          <w:highlight w:val="none"/>
          <w:lang w:val="en-US" w:eastAsia="zh-CN"/>
        </w:rPr>
        <w:t>宝安</w:t>
      </w:r>
      <w:r>
        <w:rPr>
          <w:rFonts w:hint="eastAsia" w:ascii="宋体" w:hAnsi="宋体"/>
          <w:b/>
          <w:bCs/>
          <w:szCs w:val="21"/>
          <w:highlight w:val="none"/>
        </w:rPr>
        <w:t>分公司）</w:t>
      </w:r>
      <w:r>
        <w:rPr>
          <w:rFonts w:hint="eastAsia" w:ascii="宋体" w:hAnsi="宋体"/>
          <w:b/>
          <w:bCs/>
          <w:szCs w:val="21"/>
          <w:highlight w:val="none"/>
          <w:lang w:val="en-US" w:eastAsia="zh-CN"/>
        </w:rPr>
        <w:t>一</w:t>
      </w:r>
      <w:r>
        <w:rPr>
          <w:rFonts w:hint="eastAsia" w:ascii="宋体" w:hAnsi="宋体"/>
          <w:b/>
          <w:bCs/>
          <w:szCs w:val="21"/>
          <w:highlight w:val="none"/>
        </w:rPr>
        <w:t>楼</w:t>
      </w:r>
      <w:r>
        <w:rPr>
          <w:rFonts w:hint="eastAsia" w:ascii="宋体" w:hAnsi="宋体"/>
          <w:b/>
          <w:bCs/>
          <w:szCs w:val="21"/>
          <w:highlight w:val="none"/>
          <w:lang w:val="en-US" w:eastAsia="zh-CN"/>
        </w:rPr>
        <w:t>服务大厅</w:t>
      </w:r>
      <w:r>
        <w:rPr>
          <w:rFonts w:hint="eastAsia" w:ascii="宋体" w:hAnsi="宋体"/>
          <w:b/>
          <w:bCs/>
          <w:szCs w:val="21"/>
          <w:highlight w:val="none"/>
        </w:rPr>
        <w:t>，质疑咨询电话：0755-</w:t>
      </w:r>
      <w:r>
        <w:rPr>
          <w:rFonts w:hint="eastAsia" w:ascii="宋体" w:hAnsi="宋体"/>
          <w:b/>
          <w:bCs/>
          <w:szCs w:val="21"/>
          <w:highlight w:val="none"/>
          <w:lang w:val="en-US" w:eastAsia="zh-CN"/>
        </w:rPr>
        <w:t>27758331</w:t>
      </w:r>
      <w:r>
        <w:rPr>
          <w:rFonts w:hint="eastAsia" w:ascii="宋体" w:hAnsi="宋体"/>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对质疑答复不满意或者未在规定时间内答复的，提出质疑的供应商可以在答复期满后15个工作日内向本项目预算主管单位投诉。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jc w:val="center"/>
        <w:rPr>
          <w:highlight w:val="none"/>
        </w:rPr>
      </w:pPr>
      <w:r>
        <w:rPr>
          <w:rFonts w:hint="eastAsia" w:ascii="宋体" w:hAnsi="宋体"/>
          <w:szCs w:val="21"/>
          <w:highlight w:val="none"/>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highlight w:val="none"/>
        </w:rPr>
        <w:t>---- END ----</w:t>
      </w:r>
    </w:p>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 END ----</w:t>
      </w:r>
      <w:bookmarkEnd w:id="42"/>
    </w:p>
    <w:p>
      <w:pPr>
        <w:rPr>
          <w:b/>
          <w:color w:val="FF0000"/>
          <w:sz w:val="52"/>
          <w:szCs w:val="52"/>
          <w:highlight w:val="none"/>
        </w:rPr>
      </w:pPr>
    </w:p>
    <w:p>
      <w:pPr>
        <w:rPr>
          <w:rFonts w:ascii="宋体" w:hAnsi="宋体" w:eastAsia="黑体" w:cs="Times New Roman"/>
          <w:b/>
          <w:bCs/>
          <w:color w:val="0000FF"/>
          <w:kern w:val="44"/>
          <w:sz w:val="36"/>
          <w:szCs w:val="4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9BEB3"/>
    <w:multiLevelType w:val="singleLevel"/>
    <w:tmpl w:val="BA99BEB3"/>
    <w:lvl w:ilvl="0" w:tentative="0">
      <w:start w:val="1"/>
      <w:numFmt w:val="decimal"/>
      <w:lvlText w:val="%1"/>
      <w:lvlJc w:val="left"/>
      <w:pPr>
        <w:tabs>
          <w:tab w:val="left" w:pos="420"/>
        </w:tabs>
        <w:ind w:left="42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5201199"/>
    <w:multiLevelType w:val="singleLevel"/>
    <w:tmpl w:val="C5201199"/>
    <w:lvl w:ilvl="0" w:tentative="0">
      <w:start w:val="1"/>
      <w:numFmt w:val="decimal"/>
      <w:lvlText w:val="%1"/>
      <w:lvlJc w:val="left"/>
      <w:pPr>
        <w:tabs>
          <w:tab w:val="left" w:pos="420"/>
        </w:tabs>
        <w:ind w:left="425" w:hanging="425"/>
      </w:pPr>
      <w:rPr>
        <w:rFonts w:hint="default"/>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4E29CA0"/>
    <w:multiLevelType w:val="singleLevel"/>
    <w:tmpl w:val="04E29CA0"/>
    <w:lvl w:ilvl="0" w:tentative="0">
      <w:start w:val="1"/>
      <w:numFmt w:val="chineseCounting"/>
      <w:suff w:val="nothing"/>
      <w:lvlText w:val="（%1）"/>
      <w:lvlJc w:val="left"/>
      <w:rPr>
        <w:rFonts w:hint="eastAsia"/>
      </w:rPr>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CB11FD7"/>
    <w:multiLevelType w:val="multilevel"/>
    <w:tmpl w:val="0CB11FD7"/>
    <w:lvl w:ilvl="0" w:tentative="0">
      <w:start w:val="1"/>
      <w:numFmt w:val="decimal"/>
      <w:lvlText w:val="%1)"/>
      <w:lvlJc w:val="left"/>
      <w:pPr>
        <w:tabs>
          <w:tab w:val="left" w:pos="1470"/>
        </w:tabs>
        <w:ind w:left="1470" w:hanging="420"/>
      </w:pPr>
      <w:rPr>
        <w:rFonts w:hint="eastAsia"/>
        <w:b w:val="0"/>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6B97CE"/>
    <w:multiLevelType w:val="singleLevel"/>
    <w:tmpl w:val="256B97CE"/>
    <w:lvl w:ilvl="0" w:tentative="0">
      <w:start w:val="1"/>
      <w:numFmt w:val="decimal"/>
      <w:suff w:val="nothing"/>
      <w:lvlText w:val="%1、"/>
      <w:lvlJc w:val="left"/>
      <w:pPr>
        <w:ind w:left="0" w:firstLine="0"/>
      </w:pPr>
      <w:rPr>
        <w:rFonts w:hint="default" w:ascii="宋体" w:hAnsi="宋体" w:eastAsia="宋体" w:cs="宋体"/>
      </w:r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EC27779"/>
    <w:multiLevelType w:val="multilevel"/>
    <w:tmpl w:val="5EC27779"/>
    <w:lvl w:ilvl="0" w:tentative="0">
      <w:start w:val="1"/>
      <w:numFmt w:val="decimal"/>
      <w:lvlText w:val="%1)"/>
      <w:lvlJc w:val="left"/>
      <w:pPr>
        <w:tabs>
          <w:tab w:val="left" w:pos="1470"/>
        </w:tabs>
        <w:ind w:left="1470" w:hanging="420"/>
      </w:pPr>
      <w:rPr>
        <w:rFonts w:hint="eastAsia" w:asciiTheme="majorEastAsia" w:hAnsiTheme="majorEastAsia" w:eastAsiaTheme="majorEastAsia"/>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8"/>
  </w:num>
  <w:num w:numId="2">
    <w:abstractNumId w:val="2"/>
  </w:num>
  <w:num w:numId="3">
    <w:abstractNumId w:val="0"/>
  </w:num>
  <w:num w:numId="4">
    <w:abstractNumId w:val="11"/>
  </w:num>
  <w:num w:numId="5">
    <w:abstractNumId w:val="13"/>
  </w:num>
  <w:num w:numId="6">
    <w:abstractNumId w:val="10"/>
  </w:num>
  <w:num w:numId="7">
    <w:abstractNumId w:val="14"/>
  </w:num>
  <w:num w:numId="8">
    <w:abstractNumId w:val="3"/>
  </w:num>
  <w:num w:numId="9">
    <w:abstractNumId w:val="7"/>
  </w:num>
  <w:num w:numId="10">
    <w:abstractNumId w:val="5"/>
  </w:num>
  <w:num w:numId="11">
    <w:abstractNumId w:val="4"/>
  </w:num>
  <w:num w:numId="12">
    <w:abstractNumId w:val="1"/>
  </w:num>
  <w:num w:numId="13">
    <w:abstractNumId w:val="6"/>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TBjNjEzZGYyMjAxNmY3ZDFlMjQzNTQyNGI2OWY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30516AD"/>
    <w:rsid w:val="038A3F97"/>
    <w:rsid w:val="03993BA4"/>
    <w:rsid w:val="03A66B69"/>
    <w:rsid w:val="03E017D2"/>
    <w:rsid w:val="042C4F6C"/>
    <w:rsid w:val="04446205"/>
    <w:rsid w:val="047255F5"/>
    <w:rsid w:val="048C54B6"/>
    <w:rsid w:val="049A4077"/>
    <w:rsid w:val="05130EC4"/>
    <w:rsid w:val="05452235"/>
    <w:rsid w:val="05A21435"/>
    <w:rsid w:val="06127C3D"/>
    <w:rsid w:val="06215480"/>
    <w:rsid w:val="062E1176"/>
    <w:rsid w:val="063E255E"/>
    <w:rsid w:val="065D710A"/>
    <w:rsid w:val="069468A4"/>
    <w:rsid w:val="06D86E6E"/>
    <w:rsid w:val="06E710CA"/>
    <w:rsid w:val="06E94E42"/>
    <w:rsid w:val="07101435"/>
    <w:rsid w:val="072B0FB7"/>
    <w:rsid w:val="07724E37"/>
    <w:rsid w:val="07B37245"/>
    <w:rsid w:val="07EC1177"/>
    <w:rsid w:val="08A54D99"/>
    <w:rsid w:val="08E33B14"/>
    <w:rsid w:val="09B4074E"/>
    <w:rsid w:val="09B47989"/>
    <w:rsid w:val="09CB6A81"/>
    <w:rsid w:val="0A0106F5"/>
    <w:rsid w:val="0A522CFE"/>
    <w:rsid w:val="0A537E82"/>
    <w:rsid w:val="0A670558"/>
    <w:rsid w:val="0B5C3158"/>
    <w:rsid w:val="0B845139"/>
    <w:rsid w:val="0B913B41"/>
    <w:rsid w:val="0BB023D2"/>
    <w:rsid w:val="0BC027C4"/>
    <w:rsid w:val="0BC750CE"/>
    <w:rsid w:val="0BE16F32"/>
    <w:rsid w:val="0C204376"/>
    <w:rsid w:val="0C254A1B"/>
    <w:rsid w:val="0C526FE5"/>
    <w:rsid w:val="0C6875C2"/>
    <w:rsid w:val="0CA77331"/>
    <w:rsid w:val="0CB16402"/>
    <w:rsid w:val="0CEC0DE7"/>
    <w:rsid w:val="0D0227BA"/>
    <w:rsid w:val="0D605732"/>
    <w:rsid w:val="0D844388"/>
    <w:rsid w:val="0DEE34CD"/>
    <w:rsid w:val="0E0B7D94"/>
    <w:rsid w:val="0E230C39"/>
    <w:rsid w:val="0E607F86"/>
    <w:rsid w:val="0E8A0CB9"/>
    <w:rsid w:val="0E9C279A"/>
    <w:rsid w:val="0EB421D9"/>
    <w:rsid w:val="0F142273"/>
    <w:rsid w:val="0F5B4403"/>
    <w:rsid w:val="0F5D008C"/>
    <w:rsid w:val="0FD3114F"/>
    <w:rsid w:val="0FEE5EBF"/>
    <w:rsid w:val="108300B5"/>
    <w:rsid w:val="108654B0"/>
    <w:rsid w:val="108C64EF"/>
    <w:rsid w:val="10BE733F"/>
    <w:rsid w:val="10CA1840"/>
    <w:rsid w:val="10D97CD5"/>
    <w:rsid w:val="10FC5772"/>
    <w:rsid w:val="11093651"/>
    <w:rsid w:val="11662604"/>
    <w:rsid w:val="11796EDC"/>
    <w:rsid w:val="119D5A3B"/>
    <w:rsid w:val="120F6A04"/>
    <w:rsid w:val="12635AA8"/>
    <w:rsid w:val="127840D2"/>
    <w:rsid w:val="12900790"/>
    <w:rsid w:val="12900868"/>
    <w:rsid w:val="134F24D1"/>
    <w:rsid w:val="13AA7707"/>
    <w:rsid w:val="13FF3EF7"/>
    <w:rsid w:val="144E2788"/>
    <w:rsid w:val="14806439"/>
    <w:rsid w:val="149C1746"/>
    <w:rsid w:val="14E4477F"/>
    <w:rsid w:val="15BD1BCA"/>
    <w:rsid w:val="16105DC5"/>
    <w:rsid w:val="16730284"/>
    <w:rsid w:val="16753FFC"/>
    <w:rsid w:val="16B965DF"/>
    <w:rsid w:val="1741793A"/>
    <w:rsid w:val="1743234C"/>
    <w:rsid w:val="17933E49"/>
    <w:rsid w:val="17966F3F"/>
    <w:rsid w:val="179901BE"/>
    <w:rsid w:val="17C24EE1"/>
    <w:rsid w:val="17C27715"/>
    <w:rsid w:val="17C57205"/>
    <w:rsid w:val="17E4768B"/>
    <w:rsid w:val="17FC3BA5"/>
    <w:rsid w:val="182513C0"/>
    <w:rsid w:val="18397E11"/>
    <w:rsid w:val="194505FE"/>
    <w:rsid w:val="19687E48"/>
    <w:rsid w:val="196B1CEA"/>
    <w:rsid w:val="198E1EAE"/>
    <w:rsid w:val="1A24288D"/>
    <w:rsid w:val="1B1B5294"/>
    <w:rsid w:val="1B356450"/>
    <w:rsid w:val="1B434F04"/>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28D0920"/>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52E63EA"/>
    <w:rsid w:val="25493224"/>
    <w:rsid w:val="256533FF"/>
    <w:rsid w:val="25E847EB"/>
    <w:rsid w:val="267047E0"/>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895F6F"/>
    <w:rsid w:val="29995DFC"/>
    <w:rsid w:val="29AC6F9B"/>
    <w:rsid w:val="29B91807"/>
    <w:rsid w:val="29E821D3"/>
    <w:rsid w:val="29F75268"/>
    <w:rsid w:val="2A930A9D"/>
    <w:rsid w:val="2A967EB2"/>
    <w:rsid w:val="2AD417E1"/>
    <w:rsid w:val="2B065713"/>
    <w:rsid w:val="2B2871E7"/>
    <w:rsid w:val="2BA9299F"/>
    <w:rsid w:val="2BF832AE"/>
    <w:rsid w:val="2BFE65C2"/>
    <w:rsid w:val="2C02412C"/>
    <w:rsid w:val="2C1665B8"/>
    <w:rsid w:val="2C295297"/>
    <w:rsid w:val="2C6E17C2"/>
    <w:rsid w:val="2D7F69DE"/>
    <w:rsid w:val="2DB16F26"/>
    <w:rsid w:val="2DB3388B"/>
    <w:rsid w:val="2DCA6ECC"/>
    <w:rsid w:val="2E815E80"/>
    <w:rsid w:val="2E954277"/>
    <w:rsid w:val="2EDF69A7"/>
    <w:rsid w:val="2F1A79DF"/>
    <w:rsid w:val="2F2A413F"/>
    <w:rsid w:val="2F363171"/>
    <w:rsid w:val="30311375"/>
    <w:rsid w:val="30473F91"/>
    <w:rsid w:val="306058C5"/>
    <w:rsid w:val="30B023A9"/>
    <w:rsid w:val="30C714A1"/>
    <w:rsid w:val="311772A4"/>
    <w:rsid w:val="31A96FE8"/>
    <w:rsid w:val="31B92B8B"/>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7C49C3"/>
    <w:rsid w:val="39B22FFA"/>
    <w:rsid w:val="39C15930"/>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CD2793"/>
    <w:rsid w:val="3CFA57E4"/>
    <w:rsid w:val="3D0221DE"/>
    <w:rsid w:val="3D1E60DF"/>
    <w:rsid w:val="3DE2791A"/>
    <w:rsid w:val="3E151A9D"/>
    <w:rsid w:val="3E375EB7"/>
    <w:rsid w:val="3E38205E"/>
    <w:rsid w:val="3EA47C68"/>
    <w:rsid w:val="3ED03C16"/>
    <w:rsid w:val="3EEB27FE"/>
    <w:rsid w:val="3F3423F7"/>
    <w:rsid w:val="3F8E1B07"/>
    <w:rsid w:val="40161AF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5F4788"/>
    <w:rsid w:val="44B32884"/>
    <w:rsid w:val="44E73A68"/>
    <w:rsid w:val="45223845"/>
    <w:rsid w:val="45290298"/>
    <w:rsid w:val="45B51211"/>
    <w:rsid w:val="45BD6D52"/>
    <w:rsid w:val="45EF52CA"/>
    <w:rsid w:val="46276812"/>
    <w:rsid w:val="462A4554"/>
    <w:rsid w:val="46517D32"/>
    <w:rsid w:val="46753001"/>
    <w:rsid w:val="46821C9A"/>
    <w:rsid w:val="46E51A75"/>
    <w:rsid w:val="47762C36"/>
    <w:rsid w:val="477C0DDF"/>
    <w:rsid w:val="480212E4"/>
    <w:rsid w:val="482B73A4"/>
    <w:rsid w:val="485A3566"/>
    <w:rsid w:val="48C04CFB"/>
    <w:rsid w:val="48FF5824"/>
    <w:rsid w:val="49266FC3"/>
    <w:rsid w:val="492B03C7"/>
    <w:rsid w:val="493C6A78"/>
    <w:rsid w:val="49425710"/>
    <w:rsid w:val="498E5824"/>
    <w:rsid w:val="49DE053E"/>
    <w:rsid w:val="4A625D30"/>
    <w:rsid w:val="4A767D68"/>
    <w:rsid w:val="4B475260"/>
    <w:rsid w:val="4B4C2876"/>
    <w:rsid w:val="4B9E1324"/>
    <w:rsid w:val="4BBF201F"/>
    <w:rsid w:val="4BE17463"/>
    <w:rsid w:val="4CA26BF2"/>
    <w:rsid w:val="4CEE1E37"/>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D1804"/>
    <w:rsid w:val="51A52CE0"/>
    <w:rsid w:val="52195EFA"/>
    <w:rsid w:val="529674E9"/>
    <w:rsid w:val="535D3873"/>
    <w:rsid w:val="53876B42"/>
    <w:rsid w:val="54153BAB"/>
    <w:rsid w:val="543E18F6"/>
    <w:rsid w:val="546B1FBF"/>
    <w:rsid w:val="54996B2C"/>
    <w:rsid w:val="550A7A2A"/>
    <w:rsid w:val="554A7E27"/>
    <w:rsid w:val="555E1B24"/>
    <w:rsid w:val="556A04C9"/>
    <w:rsid w:val="559E5653"/>
    <w:rsid w:val="55AB3C2F"/>
    <w:rsid w:val="55EC35D4"/>
    <w:rsid w:val="56383CF3"/>
    <w:rsid w:val="56455CD4"/>
    <w:rsid w:val="565C42B5"/>
    <w:rsid w:val="56AE76A6"/>
    <w:rsid w:val="56D4209E"/>
    <w:rsid w:val="56DB2C2D"/>
    <w:rsid w:val="56E4418B"/>
    <w:rsid w:val="57064221"/>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B26EB1"/>
    <w:rsid w:val="5DBA559D"/>
    <w:rsid w:val="5DFE3EA4"/>
    <w:rsid w:val="5E465887"/>
    <w:rsid w:val="5E473A9D"/>
    <w:rsid w:val="5E8425FB"/>
    <w:rsid w:val="5EE50BC0"/>
    <w:rsid w:val="5F181B76"/>
    <w:rsid w:val="5F463D55"/>
    <w:rsid w:val="5FD4389C"/>
    <w:rsid w:val="5FEC48FC"/>
    <w:rsid w:val="6013374F"/>
    <w:rsid w:val="60B116A2"/>
    <w:rsid w:val="60B42F40"/>
    <w:rsid w:val="60B7767B"/>
    <w:rsid w:val="61696F59"/>
    <w:rsid w:val="61D672CA"/>
    <w:rsid w:val="61E63AF5"/>
    <w:rsid w:val="626A2DAC"/>
    <w:rsid w:val="62784498"/>
    <w:rsid w:val="63293771"/>
    <w:rsid w:val="637C7D45"/>
    <w:rsid w:val="639808F7"/>
    <w:rsid w:val="645F2960"/>
    <w:rsid w:val="64654C7D"/>
    <w:rsid w:val="64BD496D"/>
    <w:rsid w:val="64BE25DF"/>
    <w:rsid w:val="64F93617"/>
    <w:rsid w:val="655D3BA6"/>
    <w:rsid w:val="65655387"/>
    <w:rsid w:val="659A6BA8"/>
    <w:rsid w:val="65FE7BFD"/>
    <w:rsid w:val="66EC6F90"/>
    <w:rsid w:val="66F2031E"/>
    <w:rsid w:val="67AA7E58"/>
    <w:rsid w:val="67AB0BF9"/>
    <w:rsid w:val="68077DF9"/>
    <w:rsid w:val="68382663"/>
    <w:rsid w:val="686314D3"/>
    <w:rsid w:val="6888718C"/>
    <w:rsid w:val="68E5527F"/>
    <w:rsid w:val="69A578CA"/>
    <w:rsid w:val="6A7343B6"/>
    <w:rsid w:val="6AB029CA"/>
    <w:rsid w:val="6AB40090"/>
    <w:rsid w:val="6ADE7537"/>
    <w:rsid w:val="6AE34B4E"/>
    <w:rsid w:val="6B1F6200"/>
    <w:rsid w:val="6B4A3375"/>
    <w:rsid w:val="6B825FC3"/>
    <w:rsid w:val="6B8359E9"/>
    <w:rsid w:val="6C613F7C"/>
    <w:rsid w:val="6C806253"/>
    <w:rsid w:val="6CF748E0"/>
    <w:rsid w:val="6D15191A"/>
    <w:rsid w:val="6D7D3037"/>
    <w:rsid w:val="6D934609"/>
    <w:rsid w:val="6DAE50AD"/>
    <w:rsid w:val="6DDA2238"/>
    <w:rsid w:val="6E0E1EE1"/>
    <w:rsid w:val="6E5A21EA"/>
    <w:rsid w:val="6EB8009F"/>
    <w:rsid w:val="6EC72090"/>
    <w:rsid w:val="6F834B73"/>
    <w:rsid w:val="6F857F81"/>
    <w:rsid w:val="6FC62348"/>
    <w:rsid w:val="6FE10E18"/>
    <w:rsid w:val="6FEC14A9"/>
    <w:rsid w:val="6FEC6252"/>
    <w:rsid w:val="702E23C7"/>
    <w:rsid w:val="70366ACE"/>
    <w:rsid w:val="70A15EF2"/>
    <w:rsid w:val="70CB230C"/>
    <w:rsid w:val="721E46BD"/>
    <w:rsid w:val="72271FEC"/>
    <w:rsid w:val="72655E48"/>
    <w:rsid w:val="72824C4C"/>
    <w:rsid w:val="728A3B01"/>
    <w:rsid w:val="72D93738"/>
    <w:rsid w:val="73434202"/>
    <w:rsid w:val="734819F2"/>
    <w:rsid w:val="735B7378"/>
    <w:rsid w:val="737A608E"/>
    <w:rsid w:val="73A806E2"/>
    <w:rsid w:val="73BC418E"/>
    <w:rsid w:val="741D2E7E"/>
    <w:rsid w:val="74A16CBA"/>
    <w:rsid w:val="74CB28DA"/>
    <w:rsid w:val="74D53759"/>
    <w:rsid w:val="74F33BDF"/>
    <w:rsid w:val="752B5D11"/>
    <w:rsid w:val="752C70F1"/>
    <w:rsid w:val="75387844"/>
    <w:rsid w:val="753903C8"/>
    <w:rsid w:val="75CC2E8E"/>
    <w:rsid w:val="75DC4AB5"/>
    <w:rsid w:val="75EF406B"/>
    <w:rsid w:val="76391AC6"/>
    <w:rsid w:val="765B7C8E"/>
    <w:rsid w:val="76707B96"/>
    <w:rsid w:val="76726D86"/>
    <w:rsid w:val="768D36C7"/>
    <w:rsid w:val="76C3504D"/>
    <w:rsid w:val="770422FE"/>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A46F38"/>
    <w:rsid w:val="7B467F1D"/>
    <w:rsid w:val="7BA7772C"/>
    <w:rsid w:val="7C0924C9"/>
    <w:rsid w:val="7C507B69"/>
    <w:rsid w:val="7C711A95"/>
    <w:rsid w:val="7C8D4919"/>
    <w:rsid w:val="7CBA4FE2"/>
    <w:rsid w:val="7CD24A22"/>
    <w:rsid w:val="7D2F777E"/>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0"/>
    <w:autoRedefine/>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Document Map"/>
    <w:basedOn w:val="1"/>
    <w:link w:val="29"/>
    <w:autoRedefine/>
    <w:semiHidden/>
    <w:unhideWhenUsed/>
    <w:qFormat/>
    <w:uiPriority w:val="99"/>
    <w:rPr>
      <w:rFonts w:ascii="宋体" w:eastAsia="宋体"/>
      <w:sz w:val="18"/>
      <w:szCs w:val="18"/>
    </w:rPr>
  </w:style>
  <w:style w:type="paragraph" w:styleId="8">
    <w:name w:val="annotation text"/>
    <w:basedOn w:val="1"/>
    <w:link w:val="31"/>
    <w:autoRedefine/>
    <w:unhideWhenUsed/>
    <w:qFormat/>
    <w:uiPriority w:val="99"/>
    <w:pPr>
      <w:jc w:val="left"/>
    </w:pPr>
  </w:style>
  <w:style w:type="paragraph" w:styleId="9">
    <w:name w:val="Body Text"/>
    <w:basedOn w:val="1"/>
    <w:next w:val="10"/>
    <w:autoRedefine/>
    <w:qFormat/>
    <w:uiPriority w:val="0"/>
    <w:pPr>
      <w:spacing w:line="360" w:lineRule="auto"/>
    </w:pPr>
    <w:rPr>
      <w:b/>
      <w:bCs/>
      <w:sz w:val="24"/>
    </w:rPr>
  </w:style>
  <w:style w:type="paragraph" w:styleId="10">
    <w:name w:val="Body Text 2"/>
    <w:basedOn w:val="1"/>
    <w:autoRedefine/>
    <w:qFormat/>
    <w:uiPriority w:val="0"/>
    <w:pPr>
      <w:spacing w:line="360" w:lineRule="auto"/>
    </w:pPr>
    <w:rPr>
      <w:sz w:val="24"/>
    </w:rPr>
  </w:style>
  <w:style w:type="paragraph" w:styleId="11">
    <w:name w:val="Balloon Text"/>
    <w:basedOn w:val="1"/>
    <w:link w:val="25"/>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26"/>
    <w:autoRedefine/>
    <w:qFormat/>
    <w:uiPriority w:val="99"/>
    <w:pPr>
      <w:widowControl/>
      <w:spacing w:before="100" w:beforeAutospacing="1" w:afterAutospacing="1"/>
      <w:jc w:val="left"/>
    </w:pPr>
    <w:rPr>
      <w:rFonts w:ascii="宋体" w:hAnsi="宋体"/>
      <w:sz w:val="24"/>
      <w:szCs w:val="24"/>
    </w:rPr>
  </w:style>
  <w:style w:type="paragraph" w:styleId="15">
    <w:name w:val="annotation subject"/>
    <w:basedOn w:val="8"/>
    <w:next w:val="8"/>
    <w:link w:val="33"/>
    <w:autoRedefine/>
    <w:semiHidden/>
    <w:unhideWhenUsed/>
    <w:qFormat/>
    <w:uiPriority w:val="99"/>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b/>
      <w:bCs/>
    </w:rPr>
  </w:style>
  <w:style w:type="character" w:styleId="20">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8"/>
    <w:autoRedefine/>
    <w:semiHidden/>
    <w:unhideWhenUsed/>
    <w:qFormat/>
    <w:uiPriority w:val="99"/>
    <w:rPr>
      <w:sz w:val="21"/>
      <w:szCs w:val="21"/>
    </w:rPr>
  </w:style>
  <w:style w:type="character" w:customStyle="1" w:styleId="23">
    <w:name w:val="页眉 Char"/>
    <w:basedOn w:val="18"/>
    <w:link w:val="13"/>
    <w:autoRedefine/>
    <w:semiHidden/>
    <w:qFormat/>
    <w:uiPriority w:val="99"/>
    <w:rPr>
      <w:sz w:val="18"/>
      <w:szCs w:val="18"/>
    </w:rPr>
  </w:style>
  <w:style w:type="character" w:customStyle="1" w:styleId="24">
    <w:name w:val="页脚 Char"/>
    <w:basedOn w:val="18"/>
    <w:link w:val="12"/>
    <w:autoRedefine/>
    <w:qFormat/>
    <w:uiPriority w:val="99"/>
    <w:rPr>
      <w:sz w:val="18"/>
      <w:szCs w:val="18"/>
    </w:rPr>
  </w:style>
  <w:style w:type="character" w:customStyle="1" w:styleId="25">
    <w:name w:val="批注框文本 Char"/>
    <w:basedOn w:val="18"/>
    <w:link w:val="11"/>
    <w:autoRedefine/>
    <w:semiHidden/>
    <w:qFormat/>
    <w:uiPriority w:val="99"/>
    <w:rPr>
      <w:sz w:val="18"/>
      <w:szCs w:val="18"/>
    </w:rPr>
  </w:style>
  <w:style w:type="character" w:customStyle="1" w:styleId="26">
    <w:name w:val="普通(网站) Char"/>
    <w:link w:val="14"/>
    <w:autoRedefine/>
    <w:qFormat/>
    <w:uiPriority w:val="99"/>
    <w:rPr>
      <w:rFonts w:ascii="宋体" w:hAnsi="宋体"/>
      <w:sz w:val="24"/>
      <w:szCs w:val="24"/>
    </w:rPr>
  </w:style>
  <w:style w:type="character" w:customStyle="1" w:styleId="27">
    <w:name w:val="标题 1 Char"/>
    <w:basedOn w:val="18"/>
    <w:link w:val="2"/>
    <w:autoRedefine/>
    <w:qFormat/>
    <w:uiPriority w:val="0"/>
    <w:rPr>
      <w:rFonts w:ascii="Arial" w:hAnsi="Arial" w:eastAsia="宋体" w:cs="Times New Roman"/>
      <w:b/>
      <w:bCs/>
      <w:kern w:val="44"/>
      <w:sz w:val="44"/>
      <w:szCs w:val="44"/>
    </w:rPr>
  </w:style>
  <w:style w:type="paragraph" w:styleId="28">
    <w:name w:val="List Paragraph"/>
    <w:basedOn w:val="1"/>
    <w:autoRedefine/>
    <w:qFormat/>
    <w:uiPriority w:val="34"/>
    <w:pPr>
      <w:ind w:firstLine="420" w:firstLineChars="200"/>
    </w:pPr>
  </w:style>
  <w:style w:type="character" w:customStyle="1" w:styleId="29">
    <w:name w:val="文档结构图 Char"/>
    <w:basedOn w:val="18"/>
    <w:link w:val="7"/>
    <w:autoRedefine/>
    <w:semiHidden/>
    <w:qFormat/>
    <w:uiPriority w:val="99"/>
    <w:rPr>
      <w:rFonts w:ascii="宋体" w:eastAsia="宋体"/>
      <w:sz w:val="18"/>
      <w:szCs w:val="18"/>
    </w:rPr>
  </w:style>
  <w:style w:type="character" w:customStyle="1" w:styleId="30">
    <w:name w:val="标题 2 Char"/>
    <w:basedOn w:val="18"/>
    <w:link w:val="3"/>
    <w:autoRedefine/>
    <w:semiHidden/>
    <w:qFormat/>
    <w:uiPriority w:val="9"/>
    <w:rPr>
      <w:rFonts w:asciiTheme="majorHAnsi" w:hAnsiTheme="majorHAnsi" w:eastAsiaTheme="majorEastAsia" w:cstheme="majorBidi"/>
      <w:b/>
      <w:bCs/>
      <w:sz w:val="32"/>
      <w:szCs w:val="32"/>
    </w:rPr>
  </w:style>
  <w:style w:type="character" w:customStyle="1" w:styleId="31">
    <w:name w:val="批注文字 Char"/>
    <w:basedOn w:val="18"/>
    <w:link w:val="8"/>
    <w:autoRedefine/>
    <w:qFormat/>
    <w:uiPriority w:val="99"/>
  </w:style>
  <w:style w:type="character" w:customStyle="1" w:styleId="32">
    <w:name w:val="标题 3 Char"/>
    <w:autoRedefine/>
    <w:qFormat/>
    <w:uiPriority w:val="0"/>
    <w:rPr>
      <w:rFonts w:ascii="黑体" w:eastAsia="黑体"/>
      <w:bCs/>
      <w:sz w:val="30"/>
    </w:rPr>
  </w:style>
  <w:style w:type="character" w:customStyle="1" w:styleId="33">
    <w:name w:val="批注主题 Char"/>
    <w:basedOn w:val="31"/>
    <w:link w:val="15"/>
    <w:autoRedefine/>
    <w:semiHidden/>
    <w:qFormat/>
    <w:uiPriority w:val="99"/>
    <w:rPr>
      <w:b/>
      <w:bCs/>
    </w:rPr>
  </w:style>
  <w:style w:type="table" w:customStyle="1" w:styleId="34">
    <w:name w:val="网格型1"/>
    <w:basedOn w:val="16"/>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font41"/>
    <w:basedOn w:val="18"/>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49115</Words>
  <Characters>51405</Characters>
  <Lines>316</Lines>
  <Paragraphs>88</Paragraphs>
  <TotalTime>22</TotalTime>
  <ScaleCrop>false</ScaleCrop>
  <LinksUpToDate>false</LinksUpToDate>
  <CharactersWithSpaces>57594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wjx</cp:lastModifiedBy>
  <cp:lastPrinted>2021-01-15T01:17:00Z</cp:lastPrinted>
  <dcterms:modified xsi:type="dcterms:W3CDTF">2024-06-20T01:40:04Z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E8504D627C7B45C891CF84F18AE21EF8_13</vt:lpwstr>
  </property>
</Properties>
</file>