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bidi w:val="0"/>
        <w:spacing w:before="156" w:after="156" w:line="560" w:lineRule="exact"/>
        <w:ind w:left="105"/>
        <w:jc w:val="center"/>
        <w:rPr>
          <w:rFonts w:ascii="宋体" w:hAnsi="宋体" w:cs="宋体-18030"/>
          <w:b/>
          <w:bCs/>
          <w:color w:val="000000"/>
          <w:sz w:val="36"/>
          <w:szCs w:val="36"/>
        </w:rPr>
      </w:pPr>
      <w:r>
        <w:rPr>
          <w:rFonts w:hint="eastAsia" w:ascii="宋体" w:hAnsi="宋体" w:cs="宋体-18030"/>
          <w:b/>
          <w:bCs/>
          <w:color w:val="000000"/>
          <w:sz w:val="36"/>
          <w:szCs w:val="36"/>
        </w:rPr>
        <w:t>深圳市宝安区妇幼保健院院内公开采购公告</w:t>
      </w:r>
    </w:p>
    <w:p>
      <w:pPr>
        <w:keepNext w:val="0"/>
        <w:keepLines w:val="0"/>
        <w:pageBreakBefore w:val="0"/>
        <w:widowControl w:val="0"/>
        <w:kinsoku/>
        <w:overflowPunct/>
        <w:topLinePunct w:val="0"/>
        <w:bidi w:val="0"/>
        <w:spacing w:before="156" w:after="156" w:line="560" w:lineRule="exact"/>
        <w:ind w:left="105"/>
        <w:jc w:val="center"/>
        <w:rPr>
          <w:rFonts w:hint="eastAsia" w:ascii="宋体" w:hAnsi="宋体" w:cs="宋体-18030"/>
          <w:b/>
          <w:bCs/>
          <w:color w:val="000000"/>
          <w:sz w:val="32"/>
          <w:szCs w:val="32"/>
        </w:rPr>
      </w:pPr>
      <w:bookmarkStart w:id="0" w:name="OLE_LINK2"/>
      <w:r>
        <w:rPr>
          <w:rFonts w:hint="eastAsia" w:ascii="宋体" w:hAnsi="宋体" w:cs="宋体-18030"/>
          <w:b/>
          <w:bCs/>
          <w:color w:val="000000"/>
          <w:sz w:val="32"/>
          <w:szCs w:val="32"/>
        </w:rPr>
        <w:t>BAFY-XXK-2</w:t>
      </w:r>
      <w:r>
        <w:rPr>
          <w:rFonts w:hint="eastAsia" w:ascii="宋体" w:hAnsi="宋体" w:cs="宋体-18030"/>
          <w:b/>
          <w:bCs/>
          <w:color w:val="000000"/>
          <w:sz w:val="32"/>
          <w:szCs w:val="32"/>
          <w:lang w:val="en-US" w:eastAsia="zh-CN"/>
        </w:rPr>
        <w:t>503</w:t>
      </w:r>
      <w:r>
        <w:rPr>
          <w:rFonts w:hint="eastAsia" w:ascii="宋体" w:hAnsi="宋体" w:cs="宋体-18030"/>
          <w:b/>
          <w:bCs/>
          <w:color w:val="000000"/>
          <w:sz w:val="32"/>
          <w:szCs w:val="32"/>
        </w:rPr>
        <w:t>期：短信服务平台</w:t>
      </w:r>
      <w:bookmarkEnd w:id="0"/>
    </w:p>
    <w:p>
      <w:pPr>
        <w:keepNext w:val="0"/>
        <w:keepLines w:val="0"/>
        <w:pageBreakBefore w:val="0"/>
        <w:widowControl w:val="0"/>
        <w:kinsoku/>
        <w:overflowPunct/>
        <w:topLinePunct w:val="0"/>
        <w:bidi w:val="0"/>
        <w:spacing w:line="560" w:lineRule="exact"/>
        <w:ind w:firstLine="480" w:firstLineChars="200"/>
        <w:jc w:val="left"/>
        <w:rPr>
          <w:rFonts w:ascii="宋体" w:hAnsi="宋体" w:cs="Arial"/>
          <w:color w:val="000000"/>
          <w:kern w:val="0"/>
          <w:sz w:val="24"/>
        </w:rPr>
      </w:pPr>
      <w:r>
        <w:rPr>
          <w:rFonts w:hint="eastAsia" w:ascii="宋体" w:hAnsi="宋体" w:cs="宋体-18030"/>
          <w:bCs/>
          <w:color w:val="000000"/>
          <w:sz w:val="24"/>
        </w:rPr>
        <w:t>根据国家、省市等有关文件要求，依照公开、公平、公正的原则，深圳市宝安区妇幼保健院拟对</w:t>
      </w:r>
      <w:r>
        <w:rPr>
          <w:rFonts w:hint="eastAsia" w:ascii="宋体" w:hAnsi="宋体" w:cs="宋体-18030"/>
          <w:bCs/>
          <w:color w:val="000000"/>
          <w:sz w:val="24"/>
          <w:lang w:eastAsia="zh-CN"/>
        </w:rPr>
        <w:t>短信服务平台</w:t>
      </w:r>
      <w:r>
        <w:rPr>
          <w:rFonts w:hint="eastAsia" w:ascii="宋体" w:hAnsi="宋体" w:cs="宋体-18030"/>
          <w:bCs/>
          <w:color w:val="000000"/>
          <w:sz w:val="24"/>
        </w:rPr>
        <w:t>项目进行公开采购，欢迎合格供应商前来参与投标</w:t>
      </w:r>
      <w:r>
        <w:rPr>
          <w:rFonts w:hint="eastAsia" w:ascii="宋体" w:hAnsi="宋体" w:cs="Arial"/>
          <w:color w:val="000000"/>
          <w:kern w:val="0"/>
          <w:sz w:val="24"/>
        </w:rPr>
        <w:t>。</w:t>
      </w:r>
    </w:p>
    <w:p>
      <w:pPr>
        <w:keepNext w:val="0"/>
        <w:keepLines w:val="0"/>
        <w:pageBreakBefore w:val="0"/>
        <w:widowControl w:val="0"/>
        <w:kinsoku/>
        <w:overflowPunct/>
        <w:topLinePunct w:val="0"/>
        <w:bidi w:val="0"/>
        <w:spacing w:line="560" w:lineRule="exact"/>
        <w:ind w:firstLine="482" w:firstLineChars="200"/>
        <w:jc w:val="left"/>
        <w:rPr>
          <w:rFonts w:ascii="宋体" w:hAnsi="宋体" w:cs="Arial"/>
          <w:b/>
          <w:bCs/>
          <w:color w:val="000000"/>
          <w:kern w:val="0"/>
          <w:sz w:val="24"/>
        </w:rPr>
      </w:pPr>
      <w:r>
        <w:rPr>
          <w:rFonts w:hint="eastAsia" w:ascii="宋体" w:hAnsi="宋体" w:cs="Arial"/>
          <w:b/>
          <w:bCs/>
          <w:color w:val="000000"/>
          <w:kern w:val="0"/>
          <w:sz w:val="24"/>
        </w:rPr>
        <w:t>一、采购项目的名称及数量</w:t>
      </w:r>
    </w:p>
    <w:tbl>
      <w:tblPr>
        <w:tblStyle w:val="28"/>
        <w:tblW w:w="7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926"/>
        <w:gridCol w:w="1354"/>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682" w:type="dxa"/>
            <w:vAlign w:val="center"/>
          </w:tcPr>
          <w:p>
            <w:pPr>
              <w:keepNext w:val="0"/>
              <w:keepLines w:val="0"/>
              <w:pageBreakBefore w:val="0"/>
              <w:widowControl w:val="0"/>
              <w:shd w:val="clear" w:color="auto" w:fill="FFFFFF"/>
              <w:kinsoku/>
              <w:overflowPunct/>
              <w:topLinePunct w:val="0"/>
              <w:bidi w:val="0"/>
              <w:spacing w:before="100" w:beforeAutospacing="1" w:after="100" w:afterAutospacing="1"/>
              <w:jc w:val="center"/>
              <w:rPr>
                <w:rFonts w:ascii="宋体" w:hAnsi="宋体" w:cs="宋体-18030"/>
                <w:b/>
                <w:color w:val="000000"/>
                <w:szCs w:val="21"/>
              </w:rPr>
            </w:pPr>
            <w:r>
              <w:rPr>
                <w:rFonts w:hint="eastAsia" w:ascii="宋体" w:hAnsi="宋体" w:cs="宋体-18030"/>
                <w:b/>
                <w:color w:val="000000"/>
                <w:szCs w:val="21"/>
              </w:rPr>
              <w:t>序号</w:t>
            </w:r>
          </w:p>
        </w:tc>
        <w:tc>
          <w:tcPr>
            <w:tcW w:w="2926" w:type="dxa"/>
            <w:vAlign w:val="center"/>
          </w:tcPr>
          <w:p>
            <w:pPr>
              <w:keepNext w:val="0"/>
              <w:keepLines w:val="0"/>
              <w:pageBreakBefore w:val="0"/>
              <w:widowControl w:val="0"/>
              <w:shd w:val="clear" w:color="auto" w:fill="FFFFFF"/>
              <w:kinsoku/>
              <w:overflowPunct/>
              <w:topLinePunct w:val="0"/>
              <w:bidi w:val="0"/>
              <w:spacing w:before="100" w:beforeAutospacing="1" w:after="100" w:afterAutospacing="1"/>
              <w:jc w:val="center"/>
              <w:rPr>
                <w:rFonts w:ascii="宋体" w:hAnsi="宋体" w:cs="宋体-18030"/>
                <w:b/>
                <w:color w:val="000000"/>
                <w:szCs w:val="21"/>
              </w:rPr>
            </w:pPr>
            <w:r>
              <w:rPr>
                <w:rFonts w:hint="eastAsia" w:ascii="宋体" w:hAnsi="宋体" w:cs="宋体-18030"/>
                <w:b/>
                <w:color w:val="000000"/>
                <w:szCs w:val="21"/>
              </w:rPr>
              <w:t>项目名称</w:t>
            </w:r>
          </w:p>
        </w:tc>
        <w:tc>
          <w:tcPr>
            <w:tcW w:w="1354" w:type="dxa"/>
            <w:vAlign w:val="center"/>
          </w:tcPr>
          <w:p>
            <w:pPr>
              <w:keepNext w:val="0"/>
              <w:keepLines w:val="0"/>
              <w:pageBreakBefore w:val="0"/>
              <w:widowControl w:val="0"/>
              <w:shd w:val="clear" w:color="auto" w:fill="FFFFFF"/>
              <w:kinsoku/>
              <w:overflowPunct/>
              <w:topLinePunct w:val="0"/>
              <w:bidi w:val="0"/>
              <w:spacing w:before="100" w:beforeAutospacing="1" w:after="100" w:afterAutospacing="1"/>
              <w:jc w:val="center"/>
              <w:rPr>
                <w:rFonts w:ascii="宋体" w:hAnsi="宋体" w:cs="宋体-18030"/>
                <w:b/>
                <w:color w:val="000000"/>
                <w:szCs w:val="21"/>
              </w:rPr>
            </w:pPr>
            <w:r>
              <w:rPr>
                <w:rFonts w:hint="eastAsia" w:ascii="宋体" w:hAnsi="宋体" w:cs="宋体-18030"/>
                <w:b/>
                <w:color w:val="000000"/>
                <w:szCs w:val="21"/>
              </w:rPr>
              <w:t>使用科室</w:t>
            </w:r>
          </w:p>
        </w:tc>
        <w:tc>
          <w:tcPr>
            <w:tcW w:w="1360" w:type="dxa"/>
            <w:vAlign w:val="center"/>
          </w:tcPr>
          <w:p>
            <w:pPr>
              <w:keepNext w:val="0"/>
              <w:keepLines w:val="0"/>
              <w:pageBreakBefore w:val="0"/>
              <w:widowControl w:val="0"/>
              <w:shd w:val="clear" w:color="auto" w:fill="FFFFFF"/>
              <w:kinsoku/>
              <w:overflowPunct/>
              <w:topLinePunct w:val="0"/>
              <w:bidi w:val="0"/>
              <w:spacing w:before="100" w:beforeAutospacing="1" w:after="100" w:afterAutospacing="1"/>
              <w:jc w:val="center"/>
              <w:rPr>
                <w:rFonts w:ascii="宋体" w:hAnsi="宋体" w:cs="宋体-18030"/>
                <w:b/>
                <w:color w:val="000000"/>
                <w:szCs w:val="21"/>
              </w:rPr>
            </w:pPr>
            <w:r>
              <w:rPr>
                <w:rFonts w:hint="eastAsia" w:ascii="宋体" w:hAnsi="宋体" w:cs="宋体-18030"/>
                <w:b/>
                <w:color w:val="000000"/>
                <w:szCs w:val="21"/>
              </w:rPr>
              <w:t>预算（元）</w:t>
            </w:r>
          </w:p>
        </w:tc>
        <w:tc>
          <w:tcPr>
            <w:tcW w:w="1360" w:type="dxa"/>
            <w:vAlign w:val="center"/>
          </w:tcPr>
          <w:p>
            <w:pPr>
              <w:keepNext w:val="0"/>
              <w:keepLines w:val="0"/>
              <w:pageBreakBefore w:val="0"/>
              <w:widowControl w:val="0"/>
              <w:shd w:val="clear" w:color="auto" w:fill="FFFFFF"/>
              <w:kinsoku/>
              <w:overflowPunct/>
              <w:topLinePunct w:val="0"/>
              <w:bidi w:val="0"/>
              <w:spacing w:before="100" w:beforeAutospacing="1" w:after="100" w:afterAutospacing="1"/>
              <w:jc w:val="center"/>
              <w:rPr>
                <w:rFonts w:hint="eastAsia" w:ascii="宋体" w:hAnsi="宋体" w:eastAsia="宋体" w:cs="宋体-18030"/>
                <w:b/>
                <w:color w:val="000000"/>
                <w:szCs w:val="21"/>
                <w:lang w:val="en-US" w:eastAsia="zh-CN"/>
              </w:rPr>
            </w:pPr>
            <w:r>
              <w:rPr>
                <w:rFonts w:hint="eastAsia" w:ascii="宋体" w:hAnsi="宋体" w:cs="宋体-18030"/>
                <w:b/>
                <w:color w:val="000000"/>
                <w:szCs w:val="21"/>
                <w:lang w:val="en-US" w:eastAsia="zh-CN"/>
              </w:rPr>
              <w:t>单价限额（元/条）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682" w:type="dxa"/>
            <w:vAlign w:val="center"/>
          </w:tcPr>
          <w:p>
            <w:pPr>
              <w:keepNext w:val="0"/>
              <w:keepLines w:val="0"/>
              <w:pageBreakBefore w:val="0"/>
              <w:widowControl w:val="0"/>
              <w:shd w:val="clear" w:color="auto" w:fill="FFFFFF"/>
              <w:kinsoku/>
              <w:overflowPunct/>
              <w:topLinePunct w:val="0"/>
              <w:bidi w:val="0"/>
              <w:spacing w:before="100" w:beforeAutospacing="1" w:after="100" w:afterAutospacing="1"/>
              <w:jc w:val="center"/>
              <w:rPr>
                <w:rFonts w:ascii="宋体" w:hAnsi="宋体" w:cs="宋体-18030"/>
                <w:bCs/>
                <w:color w:val="000000"/>
                <w:szCs w:val="21"/>
              </w:rPr>
            </w:pPr>
            <w:r>
              <w:rPr>
                <w:rFonts w:hint="eastAsia" w:ascii="宋体" w:hAnsi="宋体" w:cs="宋体-18030"/>
                <w:bCs/>
                <w:color w:val="000000"/>
                <w:szCs w:val="21"/>
              </w:rPr>
              <w:t>1</w:t>
            </w:r>
          </w:p>
        </w:tc>
        <w:tc>
          <w:tcPr>
            <w:tcW w:w="2926" w:type="dxa"/>
            <w:vAlign w:val="center"/>
          </w:tcPr>
          <w:p>
            <w:pPr>
              <w:keepNext w:val="0"/>
              <w:keepLines w:val="0"/>
              <w:pageBreakBefore w:val="0"/>
              <w:widowControl w:val="0"/>
              <w:shd w:val="clear" w:color="auto" w:fill="FFFFFF"/>
              <w:kinsoku/>
              <w:overflowPunct/>
              <w:topLinePunct w:val="0"/>
              <w:bidi w:val="0"/>
              <w:spacing w:before="100" w:beforeAutospacing="1" w:after="100" w:afterAutospacing="1"/>
              <w:jc w:val="center"/>
              <w:rPr>
                <w:rFonts w:ascii="宋体" w:hAnsi="宋体" w:cs="宋体-18030"/>
                <w:bCs/>
                <w:color w:val="000000"/>
                <w:szCs w:val="21"/>
              </w:rPr>
            </w:pPr>
            <w:r>
              <w:rPr>
                <w:rFonts w:hint="eastAsia" w:ascii="宋体" w:hAnsi="宋体" w:cs="宋体-18030"/>
                <w:bCs/>
                <w:color w:val="000000"/>
                <w:szCs w:val="21"/>
                <w:lang w:val="en-US" w:eastAsia="zh-CN"/>
              </w:rPr>
              <w:t>短信</w:t>
            </w:r>
            <w:bookmarkStart w:id="1" w:name="OLE_LINK1"/>
            <w:r>
              <w:rPr>
                <w:rFonts w:hint="eastAsia" w:ascii="宋体" w:hAnsi="宋体" w:cs="宋体-18030"/>
                <w:bCs/>
                <w:color w:val="000000"/>
                <w:szCs w:val="21"/>
                <w:lang w:val="en-US" w:eastAsia="zh-CN"/>
              </w:rPr>
              <w:t>服务</w:t>
            </w:r>
            <w:bookmarkEnd w:id="1"/>
            <w:r>
              <w:rPr>
                <w:rFonts w:hint="eastAsia" w:ascii="宋体" w:hAnsi="宋体" w:cs="宋体-18030"/>
                <w:bCs/>
                <w:color w:val="000000"/>
                <w:szCs w:val="21"/>
                <w:lang w:val="en-US" w:eastAsia="zh-CN"/>
              </w:rPr>
              <w:t>平台</w:t>
            </w:r>
          </w:p>
        </w:tc>
        <w:tc>
          <w:tcPr>
            <w:tcW w:w="1354" w:type="dxa"/>
            <w:vAlign w:val="center"/>
          </w:tcPr>
          <w:p>
            <w:pPr>
              <w:keepNext w:val="0"/>
              <w:keepLines w:val="0"/>
              <w:pageBreakBefore w:val="0"/>
              <w:widowControl w:val="0"/>
              <w:shd w:val="clear" w:color="auto" w:fill="FFFFFF"/>
              <w:kinsoku/>
              <w:overflowPunct/>
              <w:topLinePunct w:val="0"/>
              <w:bidi w:val="0"/>
              <w:spacing w:before="100" w:beforeAutospacing="1" w:after="100" w:afterAutospacing="1"/>
              <w:jc w:val="center"/>
              <w:rPr>
                <w:rFonts w:hint="eastAsia" w:ascii="宋体" w:hAnsi="宋体" w:eastAsia="宋体" w:cs="宋体-18030"/>
                <w:bCs/>
                <w:color w:val="000000"/>
                <w:szCs w:val="21"/>
                <w:lang w:eastAsia="zh-CN"/>
              </w:rPr>
            </w:pPr>
            <w:r>
              <w:rPr>
                <w:rFonts w:hint="eastAsia" w:ascii="宋体" w:hAnsi="宋体" w:cs="宋体-18030"/>
                <w:bCs/>
                <w:color w:val="000000"/>
                <w:szCs w:val="21"/>
                <w:lang w:val="en-US" w:eastAsia="zh-CN"/>
              </w:rPr>
              <w:t>全院</w:t>
            </w:r>
          </w:p>
        </w:tc>
        <w:tc>
          <w:tcPr>
            <w:tcW w:w="1360" w:type="dxa"/>
            <w:vAlign w:val="center"/>
          </w:tcPr>
          <w:p>
            <w:pPr>
              <w:keepNext w:val="0"/>
              <w:keepLines w:val="0"/>
              <w:pageBreakBefore w:val="0"/>
              <w:widowControl w:val="0"/>
              <w:shd w:val="clear" w:color="auto" w:fill="FFFFFF"/>
              <w:kinsoku/>
              <w:overflowPunct/>
              <w:topLinePunct w:val="0"/>
              <w:bidi w:val="0"/>
              <w:spacing w:before="100" w:beforeAutospacing="1" w:after="100" w:afterAutospacing="1"/>
              <w:jc w:val="center"/>
              <w:rPr>
                <w:rFonts w:ascii="宋体" w:hAnsi="宋体" w:cs="宋体-18030"/>
                <w:bCs/>
                <w:szCs w:val="21"/>
              </w:rPr>
            </w:pPr>
            <w:r>
              <w:rPr>
                <w:rFonts w:hint="eastAsia" w:ascii="宋体" w:hAnsi="宋体" w:cs="宋体-18030"/>
                <w:bCs/>
                <w:szCs w:val="21"/>
                <w:lang w:val="en-US" w:eastAsia="zh-CN"/>
              </w:rPr>
              <w:t>30</w:t>
            </w:r>
            <w:r>
              <w:rPr>
                <w:rFonts w:hint="eastAsia" w:ascii="宋体" w:hAnsi="宋体" w:cs="宋体-18030"/>
                <w:bCs/>
                <w:szCs w:val="21"/>
              </w:rPr>
              <w:t>万</w:t>
            </w:r>
          </w:p>
        </w:tc>
        <w:tc>
          <w:tcPr>
            <w:tcW w:w="1360" w:type="dxa"/>
            <w:vAlign w:val="center"/>
          </w:tcPr>
          <w:p>
            <w:pPr>
              <w:keepNext w:val="0"/>
              <w:keepLines w:val="0"/>
              <w:pageBreakBefore w:val="0"/>
              <w:widowControl w:val="0"/>
              <w:shd w:val="clear" w:color="auto" w:fill="FFFFFF"/>
              <w:kinsoku/>
              <w:overflowPunct/>
              <w:topLinePunct w:val="0"/>
              <w:bidi w:val="0"/>
              <w:spacing w:before="100" w:beforeAutospacing="1" w:after="100" w:afterAutospacing="1"/>
              <w:jc w:val="center"/>
              <w:rPr>
                <w:rFonts w:hint="eastAsia" w:ascii="宋体" w:hAnsi="宋体" w:cs="宋体-18030"/>
                <w:bCs/>
                <w:szCs w:val="21"/>
                <w:lang w:val="en-US" w:eastAsia="zh-CN"/>
              </w:rPr>
            </w:pPr>
            <w:r>
              <w:rPr>
                <w:rFonts w:hint="eastAsia" w:ascii="宋体" w:hAnsi="宋体" w:cs="宋体-18030"/>
                <w:bCs/>
                <w:szCs w:val="21"/>
                <w:lang w:val="en-US" w:eastAsia="zh-CN"/>
              </w:rPr>
              <w:t>0.0335</w:t>
            </w:r>
          </w:p>
        </w:tc>
      </w:tr>
    </w:tbl>
    <w:p>
      <w:pPr>
        <w:keepNext w:val="0"/>
        <w:keepLines w:val="0"/>
        <w:pageBreakBefore w:val="0"/>
        <w:widowControl w:val="0"/>
        <w:kinsoku/>
        <w:overflowPunct/>
        <w:topLinePunct w:val="0"/>
        <w:bidi w:val="0"/>
        <w:spacing w:line="560" w:lineRule="exact"/>
        <w:ind w:firstLine="482" w:firstLineChars="200"/>
        <w:jc w:val="left"/>
        <w:rPr>
          <w:rFonts w:ascii="宋体" w:hAnsi="宋体" w:cs="Arial"/>
          <w:b/>
          <w:color w:val="000000"/>
          <w:kern w:val="0"/>
          <w:sz w:val="24"/>
        </w:rPr>
      </w:pPr>
      <w:r>
        <w:rPr>
          <w:rFonts w:hint="eastAsia" w:ascii="宋体" w:hAnsi="宋体" w:cs="Arial"/>
          <w:b/>
          <w:bCs/>
          <w:color w:val="000000"/>
          <w:kern w:val="0"/>
          <w:sz w:val="24"/>
        </w:rPr>
        <w:t>二</w:t>
      </w:r>
      <w:r>
        <w:rPr>
          <w:rFonts w:hint="eastAsia" w:ascii="宋体" w:hAnsi="宋体" w:cs="Arial"/>
          <w:b/>
          <w:color w:val="000000"/>
          <w:kern w:val="0"/>
          <w:sz w:val="24"/>
        </w:rPr>
        <w:t>、投标人的资格要求：</w:t>
      </w:r>
    </w:p>
    <w:p>
      <w:pPr>
        <w:keepNext w:val="0"/>
        <w:keepLines w:val="0"/>
        <w:pageBreakBefore w:val="0"/>
        <w:widowControl w:val="0"/>
        <w:kinsoku/>
        <w:overflowPunct/>
        <w:topLinePunct w:val="0"/>
        <w:bidi w:val="0"/>
        <w:spacing w:line="560" w:lineRule="exact"/>
        <w:ind w:firstLine="480" w:firstLineChars="200"/>
        <w:jc w:val="left"/>
        <w:rPr>
          <w:rFonts w:ascii="宋体" w:hAnsi="宋体" w:cs="宋体-18030"/>
          <w:bCs/>
          <w:color w:val="000000"/>
          <w:sz w:val="24"/>
        </w:rPr>
      </w:pPr>
      <w:r>
        <w:rPr>
          <w:rFonts w:ascii="宋体" w:hAnsi="宋体" w:cs="宋体-18030"/>
          <w:bCs/>
          <w:color w:val="000000"/>
          <w:sz w:val="24"/>
        </w:rPr>
        <w:t xml:space="preserve">1. </w:t>
      </w:r>
      <w:r>
        <w:rPr>
          <w:rFonts w:hint="eastAsia" w:ascii="宋体" w:hAnsi="宋体" w:cs="宋体-18030"/>
          <w:bCs/>
          <w:color w:val="000000"/>
          <w:sz w:val="24"/>
        </w:rPr>
        <w:t>具有独立法人资格或是具有独立承担民事责任能力的其它组织（提供营业执照或事业单位法人证书等证明资料扫描件，原件备查）；</w:t>
      </w:r>
    </w:p>
    <w:p>
      <w:pPr>
        <w:keepNext w:val="0"/>
        <w:keepLines w:val="0"/>
        <w:pageBreakBefore w:val="0"/>
        <w:widowControl w:val="0"/>
        <w:kinsoku/>
        <w:overflowPunct/>
        <w:topLinePunct w:val="0"/>
        <w:bidi w:val="0"/>
        <w:spacing w:line="560" w:lineRule="exact"/>
        <w:ind w:firstLine="480" w:firstLineChars="200"/>
        <w:jc w:val="left"/>
        <w:rPr>
          <w:rFonts w:ascii="宋体" w:hAnsi="宋体" w:cs="宋体-18030"/>
          <w:bCs/>
          <w:color w:val="000000"/>
          <w:sz w:val="24"/>
        </w:rPr>
      </w:pPr>
      <w:r>
        <w:rPr>
          <w:rFonts w:ascii="宋体" w:hAnsi="宋体" w:cs="宋体-18030"/>
          <w:bCs/>
          <w:color w:val="000000"/>
          <w:sz w:val="24"/>
        </w:rPr>
        <w:t>2. 满足《中华人民共和国政府采购法》第二十二条</w:t>
      </w:r>
      <w:r>
        <w:rPr>
          <w:rFonts w:hint="eastAsia" w:ascii="宋体" w:hAnsi="宋体" w:cs="宋体-18030"/>
          <w:bCs/>
          <w:color w:val="000000"/>
          <w:sz w:val="24"/>
        </w:rPr>
        <w:t>第一款的条件（</w:t>
      </w:r>
      <w:r>
        <w:rPr>
          <w:rFonts w:ascii="宋体" w:hAnsi="宋体" w:cs="宋体-18030"/>
          <w:bCs/>
          <w:color w:val="000000"/>
          <w:sz w:val="24"/>
        </w:rPr>
        <w:t>在《</w:t>
      </w:r>
      <w:r>
        <w:rPr>
          <w:rFonts w:hint="eastAsia" w:ascii="宋体" w:hAnsi="宋体" w:cs="宋体-18030"/>
          <w:bCs/>
          <w:color w:val="000000"/>
          <w:sz w:val="24"/>
        </w:rPr>
        <w:t>政府采购投标及履约承诺函</w:t>
      </w:r>
      <w:r>
        <w:rPr>
          <w:rFonts w:ascii="宋体" w:hAnsi="宋体" w:cs="宋体-18030"/>
          <w:bCs/>
          <w:color w:val="000000"/>
          <w:sz w:val="24"/>
        </w:rPr>
        <w:t>》中作出声明</w:t>
      </w:r>
      <w:r>
        <w:rPr>
          <w:rFonts w:hint="eastAsia" w:ascii="宋体" w:hAnsi="宋体" w:cs="宋体-18030"/>
          <w:bCs/>
          <w:color w:val="000000"/>
          <w:sz w:val="24"/>
        </w:rPr>
        <w:t>）；</w:t>
      </w:r>
    </w:p>
    <w:p>
      <w:pPr>
        <w:keepNext w:val="0"/>
        <w:keepLines w:val="0"/>
        <w:pageBreakBefore w:val="0"/>
        <w:widowControl w:val="0"/>
        <w:kinsoku/>
        <w:overflowPunct/>
        <w:topLinePunct w:val="0"/>
        <w:bidi w:val="0"/>
        <w:spacing w:line="560" w:lineRule="exact"/>
        <w:ind w:firstLine="480" w:firstLineChars="200"/>
        <w:jc w:val="left"/>
        <w:rPr>
          <w:rFonts w:ascii="宋体" w:hAnsi="宋体" w:cs="宋体-18030"/>
          <w:bCs/>
          <w:color w:val="000000"/>
          <w:sz w:val="24"/>
        </w:rPr>
      </w:pPr>
      <w:r>
        <w:rPr>
          <w:rFonts w:ascii="宋体" w:hAnsi="宋体" w:cs="宋体-18030"/>
          <w:bCs/>
          <w:color w:val="000000"/>
          <w:sz w:val="24"/>
        </w:rPr>
        <w:t xml:space="preserve">3. </w:t>
      </w:r>
      <w:r>
        <w:rPr>
          <w:rFonts w:hint="eastAsia" w:ascii="宋体" w:hAnsi="宋体" w:cs="宋体-18030"/>
          <w:bCs/>
          <w:color w:val="000000"/>
          <w:sz w:val="24"/>
        </w:rPr>
        <w:t>参与本项目投标前三年内，在经营活动中没有重大违法记录（</w:t>
      </w:r>
      <w:r>
        <w:rPr>
          <w:rFonts w:ascii="宋体" w:hAnsi="宋体" w:cs="宋体-18030"/>
          <w:bCs/>
          <w:color w:val="000000"/>
          <w:sz w:val="24"/>
        </w:rPr>
        <w:t>在《</w:t>
      </w:r>
      <w:r>
        <w:rPr>
          <w:rFonts w:hint="eastAsia" w:ascii="宋体" w:hAnsi="宋体" w:cs="宋体-18030"/>
          <w:bCs/>
          <w:color w:val="000000"/>
          <w:sz w:val="24"/>
        </w:rPr>
        <w:t>政府采购投标及履约承诺函</w:t>
      </w:r>
      <w:r>
        <w:rPr>
          <w:rFonts w:ascii="宋体" w:hAnsi="宋体" w:cs="宋体-18030"/>
          <w:bCs/>
          <w:color w:val="000000"/>
          <w:sz w:val="24"/>
        </w:rPr>
        <w:t>》中作出声明</w:t>
      </w:r>
      <w:r>
        <w:rPr>
          <w:rFonts w:hint="eastAsia" w:ascii="宋体" w:hAnsi="宋体" w:cs="宋体-18030"/>
          <w:bCs/>
          <w:color w:val="000000"/>
          <w:sz w:val="24"/>
        </w:rPr>
        <w:t>）；</w:t>
      </w:r>
    </w:p>
    <w:p>
      <w:pPr>
        <w:keepNext w:val="0"/>
        <w:keepLines w:val="0"/>
        <w:pageBreakBefore w:val="0"/>
        <w:widowControl w:val="0"/>
        <w:kinsoku/>
        <w:overflowPunct/>
        <w:topLinePunct w:val="0"/>
        <w:bidi w:val="0"/>
        <w:spacing w:line="560" w:lineRule="exact"/>
        <w:ind w:firstLine="480" w:firstLineChars="200"/>
        <w:jc w:val="left"/>
        <w:rPr>
          <w:rFonts w:ascii="宋体" w:hAnsi="宋体" w:cs="宋体-18030"/>
          <w:bCs/>
          <w:color w:val="000000"/>
          <w:sz w:val="24"/>
        </w:rPr>
      </w:pPr>
      <w:r>
        <w:rPr>
          <w:rFonts w:ascii="宋体" w:hAnsi="宋体" w:cs="宋体-18030"/>
          <w:bCs/>
          <w:color w:val="000000"/>
          <w:sz w:val="24"/>
        </w:rPr>
        <w:t xml:space="preserve">4. </w:t>
      </w:r>
      <w:r>
        <w:rPr>
          <w:rFonts w:hint="eastAsia" w:ascii="宋体" w:hAnsi="宋体" w:cs="宋体-18030"/>
          <w:bCs/>
          <w:color w:val="000000"/>
          <w:sz w:val="24"/>
        </w:rPr>
        <w:t>参与本项目政府采购活动时不存在被有关部门禁止参与政府采购活动且在有效期内的情况（</w:t>
      </w:r>
      <w:r>
        <w:rPr>
          <w:rFonts w:ascii="宋体" w:hAnsi="宋体" w:cs="宋体-18030"/>
          <w:bCs/>
          <w:color w:val="000000"/>
          <w:sz w:val="24"/>
        </w:rPr>
        <w:t>在《</w:t>
      </w:r>
      <w:r>
        <w:rPr>
          <w:rFonts w:hint="eastAsia" w:ascii="宋体" w:hAnsi="宋体" w:cs="宋体-18030"/>
          <w:bCs/>
          <w:color w:val="000000"/>
          <w:sz w:val="24"/>
        </w:rPr>
        <w:t>政府采购投标及履约承诺函</w:t>
      </w:r>
      <w:r>
        <w:rPr>
          <w:rFonts w:ascii="宋体" w:hAnsi="宋体" w:cs="宋体-18030"/>
          <w:bCs/>
          <w:color w:val="000000"/>
          <w:sz w:val="24"/>
        </w:rPr>
        <w:t>》中作出声明</w:t>
      </w:r>
      <w:r>
        <w:rPr>
          <w:rFonts w:hint="eastAsia" w:ascii="宋体" w:hAnsi="宋体" w:cs="宋体-18030"/>
          <w:bCs/>
          <w:color w:val="000000"/>
          <w:sz w:val="24"/>
        </w:rPr>
        <w:t>）；</w:t>
      </w:r>
    </w:p>
    <w:p>
      <w:pPr>
        <w:keepNext w:val="0"/>
        <w:keepLines w:val="0"/>
        <w:pageBreakBefore w:val="0"/>
        <w:widowControl w:val="0"/>
        <w:kinsoku/>
        <w:overflowPunct/>
        <w:topLinePunct w:val="0"/>
        <w:bidi w:val="0"/>
        <w:spacing w:line="560" w:lineRule="exact"/>
        <w:ind w:firstLine="480" w:firstLineChars="200"/>
        <w:jc w:val="left"/>
        <w:rPr>
          <w:rFonts w:ascii="宋体" w:hAnsi="宋体" w:cs="宋体-18030"/>
          <w:bCs/>
          <w:color w:val="000000"/>
          <w:sz w:val="24"/>
        </w:rPr>
      </w:pPr>
      <w:r>
        <w:rPr>
          <w:rFonts w:ascii="宋体" w:hAnsi="宋体" w:cs="宋体-18030"/>
          <w:bCs/>
          <w:color w:val="000000"/>
          <w:sz w:val="24"/>
        </w:rPr>
        <w:t xml:space="preserve">5. </w:t>
      </w:r>
      <w:r>
        <w:rPr>
          <w:rFonts w:hint="eastAsia" w:ascii="宋体" w:hAnsi="宋体" w:cs="宋体-18030"/>
          <w:bCs/>
          <w:color w:val="000000"/>
          <w:sz w:val="24"/>
        </w:rPr>
        <w:t>未被列入失信被执行人、重大税收违法案件当事人名单、政府采购严重违法失信行为记录名单（</w:t>
      </w:r>
      <w:r>
        <w:rPr>
          <w:rFonts w:ascii="宋体" w:hAnsi="宋体" w:cs="宋体-18030"/>
          <w:bCs/>
          <w:color w:val="000000"/>
          <w:sz w:val="24"/>
        </w:rPr>
        <w:t>在《</w:t>
      </w:r>
      <w:r>
        <w:rPr>
          <w:rFonts w:hint="eastAsia" w:ascii="宋体" w:hAnsi="宋体" w:cs="宋体-18030"/>
          <w:bCs/>
          <w:color w:val="000000"/>
          <w:sz w:val="24"/>
        </w:rPr>
        <w:t>政府采购投标及履约承诺函</w:t>
      </w:r>
      <w:r>
        <w:rPr>
          <w:rFonts w:ascii="宋体" w:hAnsi="宋体" w:cs="宋体-18030"/>
          <w:bCs/>
          <w:color w:val="000000"/>
          <w:sz w:val="24"/>
        </w:rPr>
        <w:t>》中作出声明</w:t>
      </w:r>
      <w:r>
        <w:rPr>
          <w:rFonts w:hint="eastAsia" w:ascii="宋体" w:hAnsi="宋体" w:cs="宋体-18030"/>
          <w:bCs/>
          <w:color w:val="000000"/>
          <w:sz w:val="24"/>
        </w:rPr>
        <w:t>）；</w:t>
      </w:r>
    </w:p>
    <w:p>
      <w:pPr>
        <w:keepNext w:val="0"/>
        <w:keepLines w:val="0"/>
        <w:pageBreakBefore w:val="0"/>
        <w:widowControl w:val="0"/>
        <w:kinsoku/>
        <w:overflowPunct/>
        <w:topLinePunct w:val="0"/>
        <w:bidi w:val="0"/>
        <w:spacing w:line="560" w:lineRule="exact"/>
        <w:ind w:firstLine="480" w:firstLineChars="200"/>
        <w:jc w:val="left"/>
        <w:rPr>
          <w:rFonts w:ascii="宋体" w:hAnsi="宋体" w:cs="宋体-18030"/>
          <w:bCs/>
          <w:sz w:val="24"/>
        </w:rPr>
      </w:pPr>
      <w:r>
        <w:rPr>
          <w:rFonts w:hint="eastAsia" w:ascii="宋体" w:hAnsi="宋体" w:cs="宋体-18030"/>
          <w:bCs/>
          <w:sz w:val="24"/>
        </w:rPr>
        <w:t>6. 单位法定代表人（负责人）为同一人或者存在直接控股、管理关系的不同供应商，不得同时参加本项目投标（由供应商在《政府采购投标及履约承诺函》中作出声明，加盖公章）；</w:t>
      </w:r>
    </w:p>
    <w:p>
      <w:pPr>
        <w:keepNext w:val="0"/>
        <w:keepLines w:val="0"/>
        <w:pageBreakBefore w:val="0"/>
        <w:widowControl w:val="0"/>
        <w:kinsoku/>
        <w:overflowPunct/>
        <w:topLinePunct w:val="0"/>
        <w:bidi w:val="0"/>
        <w:spacing w:line="560" w:lineRule="exact"/>
        <w:ind w:firstLine="480" w:firstLineChars="200"/>
        <w:jc w:val="left"/>
        <w:rPr>
          <w:rFonts w:hint="eastAsia" w:ascii="宋体" w:hAnsi="宋体" w:cs="宋体-18030"/>
          <w:bCs/>
          <w:color w:val="000000"/>
          <w:sz w:val="24"/>
        </w:rPr>
      </w:pPr>
      <w:r>
        <w:rPr>
          <w:rFonts w:hint="eastAsia" w:ascii="宋体" w:hAnsi="宋体" w:cs="宋体-18030"/>
          <w:bCs/>
          <w:color w:val="000000"/>
          <w:sz w:val="24"/>
        </w:rPr>
        <w:t>7. 本项目不接受联合体投标，不允许转包、分包（由供应商在《政府采购投标及履约承诺函》中作出声明，加盖公章）。</w:t>
      </w:r>
    </w:p>
    <w:p>
      <w:pPr>
        <w:keepNext w:val="0"/>
        <w:keepLines w:val="0"/>
        <w:pageBreakBefore w:val="0"/>
        <w:widowControl w:val="0"/>
        <w:kinsoku/>
        <w:overflowPunct/>
        <w:topLinePunct w:val="0"/>
        <w:bidi w:val="0"/>
        <w:spacing w:line="560" w:lineRule="exact"/>
        <w:ind w:firstLine="480" w:firstLineChars="200"/>
        <w:jc w:val="left"/>
        <w:rPr>
          <w:rFonts w:hint="eastAsia" w:ascii="宋体" w:hAnsi="宋体" w:cs="宋体-18030"/>
          <w:bCs/>
          <w:color w:val="000000"/>
          <w:sz w:val="24"/>
          <w:lang w:val="en-US" w:eastAsia="zh-CN"/>
        </w:rPr>
      </w:pPr>
      <w:r>
        <w:rPr>
          <w:rFonts w:hint="eastAsia" w:ascii="宋体" w:hAnsi="宋体" w:cs="宋体-18030"/>
          <w:bCs/>
          <w:color w:val="000000"/>
          <w:sz w:val="24"/>
          <w:lang w:val="en-US" w:eastAsia="zh-CN"/>
        </w:rPr>
        <w:t>8. 具有工信部颁布的有效的《中华人民共和国电信网码号资源使用证书》（提供有效资质证书复印件或扫描件加盖投标人公章）。</w:t>
      </w:r>
    </w:p>
    <w:p>
      <w:pPr>
        <w:keepNext w:val="0"/>
        <w:keepLines w:val="0"/>
        <w:pageBreakBefore w:val="0"/>
        <w:widowControl w:val="0"/>
        <w:kinsoku/>
        <w:overflowPunct/>
        <w:topLinePunct w:val="0"/>
        <w:bidi w:val="0"/>
        <w:spacing w:line="560" w:lineRule="exact"/>
        <w:ind w:firstLine="482" w:firstLineChars="200"/>
        <w:jc w:val="left"/>
        <w:rPr>
          <w:rFonts w:hint="eastAsia" w:ascii="宋体" w:hAnsi="宋体" w:cs="Arial"/>
          <w:color w:val="000000"/>
          <w:kern w:val="0"/>
          <w:sz w:val="24"/>
        </w:rPr>
      </w:pPr>
      <w:r>
        <w:rPr>
          <w:rFonts w:hint="eastAsia" w:ascii="宋体" w:hAnsi="宋体" w:cs="Arial"/>
          <w:b/>
          <w:color w:val="000000"/>
          <w:kern w:val="0"/>
          <w:sz w:val="24"/>
        </w:rPr>
        <w:t>三、报名时间</w:t>
      </w:r>
      <w:r>
        <w:rPr>
          <w:rFonts w:hint="eastAsia" w:ascii="宋体" w:hAnsi="宋体" w:cs="宋体-18030"/>
          <w:b/>
          <w:bCs/>
          <w:color w:val="000000"/>
          <w:kern w:val="0"/>
          <w:sz w:val="24"/>
        </w:rPr>
        <w:t>和地点</w:t>
      </w:r>
      <w:r>
        <w:rPr>
          <w:rFonts w:hint="eastAsia" w:ascii="宋体" w:hAnsi="宋体" w:cs="Arial"/>
          <w:b/>
          <w:color w:val="000000"/>
          <w:kern w:val="0"/>
          <w:sz w:val="24"/>
        </w:rPr>
        <w:t>：</w:t>
      </w:r>
      <w:r>
        <w:rPr>
          <w:rFonts w:hint="eastAsia" w:ascii="宋体" w:hAnsi="宋体" w:cs="Arial"/>
          <w:color w:val="000000"/>
          <w:kern w:val="0"/>
          <w:sz w:val="24"/>
        </w:rPr>
        <w:t>即日起至202</w:t>
      </w:r>
      <w:r>
        <w:rPr>
          <w:rFonts w:hint="eastAsia" w:ascii="宋体" w:hAnsi="宋体" w:cs="Arial"/>
          <w:color w:val="000000"/>
          <w:kern w:val="0"/>
          <w:sz w:val="24"/>
          <w:lang w:val="en-US" w:eastAsia="zh-CN"/>
        </w:rPr>
        <w:t>5</w:t>
      </w:r>
      <w:r>
        <w:rPr>
          <w:rFonts w:hint="eastAsia" w:ascii="宋体" w:hAnsi="宋体" w:cs="Arial"/>
          <w:color w:val="000000"/>
          <w:kern w:val="0"/>
          <w:sz w:val="24"/>
        </w:rPr>
        <w:t>年</w:t>
      </w:r>
      <w:r>
        <w:rPr>
          <w:rFonts w:hint="eastAsia" w:ascii="宋体" w:hAnsi="宋体" w:cs="Arial"/>
          <w:color w:val="000000"/>
          <w:kern w:val="0"/>
          <w:sz w:val="24"/>
          <w:lang w:val="en-US" w:eastAsia="zh-CN"/>
        </w:rPr>
        <w:t>3</w:t>
      </w:r>
      <w:r>
        <w:rPr>
          <w:rFonts w:hint="eastAsia" w:ascii="宋体" w:hAnsi="宋体" w:cs="Arial"/>
          <w:color w:val="000000"/>
          <w:kern w:val="0"/>
          <w:sz w:val="24"/>
        </w:rPr>
        <w:t>月</w:t>
      </w:r>
      <w:r>
        <w:rPr>
          <w:rFonts w:hint="eastAsia" w:ascii="宋体" w:hAnsi="宋体" w:cs="Arial"/>
          <w:color w:val="000000"/>
          <w:kern w:val="0"/>
          <w:sz w:val="24"/>
          <w:lang w:val="en-US" w:eastAsia="zh-CN"/>
        </w:rPr>
        <w:t>7</w:t>
      </w:r>
      <w:bookmarkStart w:id="54" w:name="_GoBack"/>
      <w:bookmarkEnd w:id="54"/>
      <w:r>
        <w:rPr>
          <w:rFonts w:hint="eastAsia" w:ascii="宋体" w:hAnsi="宋体" w:cs="Arial"/>
          <w:color w:val="000000"/>
          <w:kern w:val="0"/>
          <w:sz w:val="24"/>
        </w:rPr>
        <w:t>日下午17:00前（工作时间内）到深圳市宝安区新安街道玉律路56号宝安区妇幼保健院行政楼5楼504室集体办公区招标办梁老师处报名。</w:t>
      </w:r>
    </w:p>
    <w:p>
      <w:pPr>
        <w:keepNext w:val="0"/>
        <w:keepLines w:val="0"/>
        <w:pageBreakBefore w:val="0"/>
        <w:widowControl w:val="0"/>
        <w:kinsoku/>
        <w:overflowPunct/>
        <w:topLinePunct w:val="0"/>
        <w:bidi w:val="0"/>
        <w:spacing w:line="560" w:lineRule="exact"/>
        <w:ind w:left="482"/>
        <w:jc w:val="left"/>
        <w:rPr>
          <w:rFonts w:ascii="宋体" w:hAnsi="宋体" w:cs="Arial"/>
          <w:b/>
          <w:color w:val="000000"/>
          <w:kern w:val="0"/>
          <w:sz w:val="24"/>
        </w:rPr>
      </w:pPr>
      <w:r>
        <w:rPr>
          <w:rFonts w:hint="eastAsia" w:ascii="宋体" w:hAnsi="宋体" w:cs="Arial"/>
          <w:b/>
          <w:color w:val="000000"/>
          <w:kern w:val="0"/>
          <w:sz w:val="24"/>
        </w:rPr>
        <w:t>四</w:t>
      </w:r>
      <w:r>
        <w:rPr>
          <w:rFonts w:hint="eastAsia" w:ascii="宋体" w:hAnsi="宋体" w:cs="Arial"/>
          <w:b/>
          <w:bCs/>
          <w:color w:val="000000"/>
          <w:kern w:val="0"/>
          <w:sz w:val="24"/>
        </w:rPr>
        <w:t>、</w:t>
      </w:r>
      <w:r>
        <w:rPr>
          <w:rFonts w:hint="eastAsia" w:ascii="宋体" w:hAnsi="宋体" w:cs="Arial"/>
          <w:b/>
          <w:color w:val="000000"/>
          <w:kern w:val="0"/>
          <w:sz w:val="24"/>
        </w:rPr>
        <w:t>报名材</w:t>
      </w:r>
      <w:r>
        <w:rPr>
          <w:rFonts w:hint="eastAsia" w:ascii="宋体" w:hAnsi="宋体" w:cs="Arial"/>
          <w:b/>
          <w:color w:val="000000"/>
          <w:sz w:val="24"/>
        </w:rPr>
        <w:t>料</w:t>
      </w:r>
      <w:r>
        <w:rPr>
          <w:rFonts w:hint="eastAsia" w:ascii="宋体" w:hAnsi="宋体" w:cs="Arial"/>
          <w:b/>
          <w:color w:val="000000"/>
          <w:kern w:val="0"/>
          <w:sz w:val="24"/>
        </w:rPr>
        <w:t>：</w:t>
      </w:r>
    </w:p>
    <w:p>
      <w:pPr>
        <w:keepNext w:val="0"/>
        <w:keepLines w:val="0"/>
        <w:pageBreakBefore w:val="0"/>
        <w:widowControl w:val="0"/>
        <w:kinsoku/>
        <w:overflowPunct/>
        <w:topLinePunct w:val="0"/>
        <w:bidi w:val="0"/>
        <w:spacing w:line="560" w:lineRule="exact"/>
        <w:ind w:firstLine="480" w:firstLineChars="200"/>
        <w:jc w:val="left"/>
        <w:rPr>
          <w:rFonts w:ascii="宋体" w:hAnsi="宋体" w:cs="Arial"/>
          <w:color w:val="000000"/>
          <w:kern w:val="0"/>
          <w:sz w:val="24"/>
        </w:rPr>
      </w:pPr>
      <w:r>
        <w:rPr>
          <w:rFonts w:ascii="宋体" w:hAnsi="宋体" w:cs="Arial"/>
          <w:color w:val="000000"/>
          <w:kern w:val="0"/>
          <w:sz w:val="24"/>
        </w:rPr>
        <w:t xml:space="preserve">1. </w:t>
      </w:r>
      <w:r>
        <w:rPr>
          <w:rFonts w:hint="eastAsia" w:ascii="宋体" w:hAnsi="宋体" w:cs="Arial"/>
          <w:color w:val="000000"/>
          <w:kern w:val="0"/>
          <w:sz w:val="24"/>
        </w:rPr>
        <w:t>加载统一社会信用代码的公司营业执照或公司的三证（营业执照、组织机构代码证和税务登记证），公司的营业范围需包含拟投标项目的经营资历。</w:t>
      </w:r>
    </w:p>
    <w:p>
      <w:pPr>
        <w:keepNext w:val="0"/>
        <w:keepLines w:val="0"/>
        <w:pageBreakBefore w:val="0"/>
        <w:widowControl w:val="0"/>
        <w:kinsoku/>
        <w:overflowPunct/>
        <w:topLinePunct w:val="0"/>
        <w:bidi w:val="0"/>
        <w:spacing w:line="560" w:lineRule="exact"/>
        <w:ind w:firstLine="480" w:firstLineChars="200"/>
        <w:jc w:val="left"/>
        <w:rPr>
          <w:rFonts w:ascii="宋体" w:hAnsi="宋体" w:cs="Arial"/>
          <w:color w:val="000000"/>
          <w:kern w:val="0"/>
          <w:sz w:val="24"/>
        </w:rPr>
      </w:pPr>
      <w:r>
        <w:rPr>
          <w:rFonts w:ascii="宋体" w:hAnsi="宋体" w:cs="Arial"/>
          <w:color w:val="000000"/>
          <w:kern w:val="0"/>
          <w:sz w:val="24"/>
        </w:rPr>
        <w:t>2.</w:t>
      </w:r>
      <w:r>
        <w:rPr>
          <w:rFonts w:hint="eastAsia"/>
        </w:rPr>
        <w:t xml:space="preserve"> 公司</w:t>
      </w:r>
      <w:r>
        <w:rPr>
          <w:rFonts w:hint="eastAsia" w:ascii="宋体" w:hAnsi="宋体" w:cs="Arial"/>
          <w:color w:val="000000"/>
          <w:kern w:val="0"/>
          <w:sz w:val="24"/>
        </w:rPr>
        <w:t>法定代表人证明书和身份证复印件（正反面）。</w:t>
      </w:r>
    </w:p>
    <w:p>
      <w:pPr>
        <w:spacing w:line="560" w:lineRule="exact"/>
        <w:ind w:firstLine="480" w:firstLineChars="200"/>
        <w:jc w:val="left"/>
        <w:rPr>
          <w:rFonts w:hint="eastAsia" w:ascii="宋体" w:hAnsi="宋体" w:cs="Arial"/>
          <w:color w:val="000000"/>
          <w:kern w:val="0"/>
          <w:sz w:val="24"/>
          <w:highlight w:val="none"/>
          <w:lang w:eastAsia="zh-CN"/>
        </w:rPr>
      </w:pPr>
      <w:r>
        <w:rPr>
          <w:rFonts w:ascii="宋体" w:hAnsi="宋体" w:cs="Arial"/>
          <w:color w:val="000000"/>
          <w:kern w:val="0"/>
          <w:sz w:val="24"/>
        </w:rPr>
        <w:t xml:space="preserve">3. </w:t>
      </w:r>
      <w:r>
        <w:rPr>
          <w:rFonts w:hint="eastAsia" w:ascii="宋体" w:hAnsi="宋体" w:cs="Arial"/>
          <w:color w:val="000000"/>
          <w:kern w:val="0"/>
          <w:sz w:val="24"/>
        </w:rPr>
        <w:t>法定代表人授权委托书和授权委托人身份证复印件（正反面）</w:t>
      </w:r>
      <w:r>
        <w:rPr>
          <w:rFonts w:hint="eastAsia" w:ascii="宋体" w:hAnsi="宋体" w:cs="Arial"/>
          <w:color w:val="000000"/>
          <w:kern w:val="0"/>
          <w:sz w:val="24"/>
          <w:highlight w:val="none"/>
          <w:lang w:eastAsia="zh-CN"/>
        </w:rPr>
        <w:t>、授权委托人需提供社保缴纳证明其为该司员工。</w:t>
      </w:r>
    </w:p>
    <w:p>
      <w:pPr>
        <w:spacing w:line="560" w:lineRule="exact"/>
        <w:ind w:firstLine="480" w:firstLineChars="200"/>
        <w:jc w:val="left"/>
      </w:pPr>
      <w:r>
        <w:rPr>
          <w:rFonts w:hint="eastAsia" w:ascii="宋体" w:hAnsi="宋体" w:cs="Arial"/>
          <w:color w:val="000000"/>
          <w:kern w:val="0"/>
          <w:sz w:val="24"/>
        </w:rPr>
        <w:t>4. 工信部颁布的</w:t>
      </w:r>
      <w:r>
        <w:rPr>
          <w:rFonts w:hint="eastAsia" w:ascii="宋体" w:hAnsi="宋体" w:cs="宋体-18030"/>
          <w:bCs/>
          <w:color w:val="000000"/>
          <w:sz w:val="24"/>
          <w:lang w:val="en-US" w:eastAsia="zh-CN"/>
        </w:rPr>
        <w:t>有效的</w:t>
      </w:r>
      <w:r>
        <w:rPr>
          <w:rFonts w:hint="eastAsia" w:ascii="宋体" w:hAnsi="宋体" w:cs="Arial"/>
          <w:color w:val="000000"/>
          <w:kern w:val="0"/>
          <w:sz w:val="24"/>
        </w:rPr>
        <w:t>《中华人民共和国电信网码号资源使用证书》（提供有效资质证书复印件或扫描件加盖投标人公章）。</w:t>
      </w:r>
    </w:p>
    <w:p>
      <w:pPr>
        <w:keepNext w:val="0"/>
        <w:keepLines w:val="0"/>
        <w:pageBreakBefore w:val="0"/>
        <w:widowControl w:val="0"/>
        <w:kinsoku/>
        <w:overflowPunct/>
        <w:topLinePunct w:val="0"/>
        <w:bidi w:val="0"/>
        <w:spacing w:line="560" w:lineRule="exact"/>
        <w:ind w:firstLine="562" w:firstLineChars="200"/>
        <w:jc w:val="left"/>
        <w:rPr>
          <w:b/>
          <w:bCs/>
          <w:sz w:val="28"/>
          <w:szCs w:val="28"/>
        </w:rPr>
      </w:pPr>
      <w:r>
        <w:rPr>
          <w:rFonts w:hint="eastAsia"/>
          <w:b/>
          <w:bCs/>
          <w:sz w:val="28"/>
          <w:szCs w:val="28"/>
        </w:rPr>
        <w:t>报名时请携带以上所有材料复印件，必须加盖公司公章，经手人签名并填写日期。</w:t>
      </w:r>
      <w:r>
        <w:rPr>
          <w:rFonts w:hint="eastAsia"/>
          <w:b/>
          <w:bCs/>
          <w:color w:val="FF0000"/>
          <w:sz w:val="28"/>
          <w:szCs w:val="28"/>
        </w:rPr>
        <w:t>经查验合格的将发给采购资料（请自带U盘拷贝）。</w:t>
      </w:r>
    </w:p>
    <w:p>
      <w:pPr>
        <w:keepNext w:val="0"/>
        <w:keepLines w:val="0"/>
        <w:pageBreakBefore w:val="0"/>
        <w:widowControl w:val="0"/>
        <w:kinsoku/>
        <w:overflowPunct/>
        <w:topLinePunct w:val="0"/>
        <w:bidi w:val="0"/>
        <w:spacing w:line="560" w:lineRule="exact"/>
        <w:ind w:firstLine="482" w:firstLineChars="200"/>
        <w:jc w:val="left"/>
        <w:rPr>
          <w:rFonts w:ascii="宋体" w:hAnsi="宋体" w:cs="Arial"/>
          <w:color w:val="000000"/>
          <w:kern w:val="0"/>
          <w:sz w:val="24"/>
        </w:rPr>
      </w:pPr>
      <w:r>
        <w:rPr>
          <w:rFonts w:hint="eastAsia" w:ascii="宋体" w:hAnsi="宋体" w:cs="Arial"/>
          <w:b/>
          <w:bCs/>
          <w:color w:val="000000"/>
          <w:sz w:val="24"/>
        </w:rPr>
        <w:t>五</w:t>
      </w:r>
      <w:r>
        <w:rPr>
          <w:rFonts w:hint="eastAsia" w:ascii="宋体" w:hAnsi="宋体" w:cs="Arial"/>
          <w:b/>
          <w:bCs/>
          <w:color w:val="000000"/>
          <w:kern w:val="0"/>
          <w:sz w:val="24"/>
        </w:rPr>
        <w:t>、</w:t>
      </w:r>
      <w:r>
        <w:rPr>
          <w:rFonts w:hint="eastAsia" w:ascii="宋体" w:hAnsi="宋体" w:cs="Arial"/>
          <w:b/>
          <w:color w:val="000000"/>
          <w:kern w:val="0"/>
          <w:sz w:val="24"/>
        </w:rPr>
        <w:t>开标时间和地点：</w:t>
      </w:r>
      <w:r>
        <w:rPr>
          <w:rFonts w:hint="eastAsia" w:ascii="宋体" w:hAnsi="宋体" w:cs="Arial"/>
          <w:color w:val="000000"/>
          <w:kern w:val="0"/>
          <w:sz w:val="24"/>
          <w:lang w:eastAsia="zh-CN"/>
        </w:rPr>
        <w:t>时间地点另行通知。</w:t>
      </w:r>
      <w:r>
        <w:rPr>
          <w:rFonts w:hint="eastAsia" w:ascii="宋体" w:hAnsi="宋体" w:cs="Arial"/>
          <w:color w:val="000000"/>
          <w:kern w:val="0"/>
          <w:sz w:val="24"/>
        </w:rPr>
        <w:t>开标当日，供应商须</w:t>
      </w:r>
      <w:r>
        <w:rPr>
          <w:rFonts w:hint="eastAsia" w:ascii="宋体" w:hAnsi="宋体" w:cs="Arial"/>
          <w:color w:val="FF0000"/>
          <w:kern w:val="0"/>
          <w:sz w:val="24"/>
        </w:rPr>
        <w:t>携带纸质投标文件6份 (1正5副)和</w:t>
      </w:r>
      <w:r>
        <w:rPr>
          <w:rFonts w:hint="eastAsia" w:ascii="宋体" w:hAnsi="宋体" w:cs="Arial"/>
          <w:bCs/>
          <w:color w:val="FF0000"/>
          <w:sz w:val="24"/>
        </w:rPr>
        <w:t>正本投标书扫描件</w:t>
      </w:r>
      <w:r>
        <w:rPr>
          <w:rFonts w:hint="eastAsia" w:ascii="宋体" w:hAnsi="宋体" w:cs="Arial"/>
          <w:color w:val="FF0000"/>
          <w:kern w:val="0"/>
          <w:sz w:val="24"/>
        </w:rPr>
        <w:t>电子版</w:t>
      </w:r>
      <w:r>
        <w:rPr>
          <w:rFonts w:hint="eastAsia" w:ascii="宋体" w:hAnsi="宋体" w:cs="Arial"/>
          <w:bCs/>
          <w:color w:val="000000"/>
          <w:sz w:val="24"/>
        </w:rPr>
        <w:t>[PDF格式，文件命名为“BAFY-XXK-2503期：短信服务平台-XX公司（投标公司名称)”,</w:t>
      </w:r>
      <w:r>
        <w:rPr>
          <w:rFonts w:hint="eastAsia" w:ascii="宋体" w:hAnsi="宋体" w:cs="Arial"/>
          <w:bCs/>
          <w:color w:val="FF0000"/>
          <w:sz w:val="24"/>
        </w:rPr>
        <w:t>请自带U盘拷贝</w:t>
      </w:r>
      <w:r>
        <w:rPr>
          <w:rFonts w:hint="eastAsia" w:ascii="宋体" w:hAnsi="宋体" w:cs="Arial"/>
          <w:sz w:val="24"/>
        </w:rPr>
        <w:t>]。</w:t>
      </w:r>
      <w:r>
        <w:rPr>
          <w:rFonts w:hint="eastAsia" w:ascii="宋体" w:hAnsi="宋体" w:cs="Arial"/>
          <w:b/>
          <w:color w:val="FF0000"/>
          <w:sz w:val="24"/>
        </w:rPr>
        <w:t>投标书须按我院提供的《投标书模板》编写，纸质投标书请胶装双面打印。</w:t>
      </w:r>
    </w:p>
    <w:p>
      <w:pPr>
        <w:keepNext w:val="0"/>
        <w:keepLines w:val="0"/>
        <w:pageBreakBefore w:val="0"/>
        <w:widowControl w:val="0"/>
        <w:kinsoku/>
        <w:wordWrap w:val="0"/>
        <w:overflowPunct/>
        <w:topLinePunct w:val="0"/>
        <w:bidi w:val="0"/>
        <w:spacing w:line="560" w:lineRule="exact"/>
        <w:ind w:firstLine="482" w:firstLineChars="200"/>
        <w:jc w:val="left"/>
        <w:rPr>
          <w:rFonts w:hint="eastAsia" w:ascii="宋体" w:hAnsi="宋体" w:cs="Arial"/>
          <w:b/>
          <w:color w:val="000000"/>
          <w:kern w:val="0"/>
          <w:sz w:val="24"/>
          <w:lang w:val="en-US" w:eastAsia="zh-CN"/>
        </w:rPr>
      </w:pPr>
      <w:r>
        <w:rPr>
          <w:rFonts w:hint="eastAsia" w:ascii="宋体" w:hAnsi="宋体" w:cs="Arial"/>
          <w:b/>
          <w:bCs/>
          <w:color w:val="000000"/>
          <w:sz w:val="24"/>
        </w:rPr>
        <w:t>六、</w:t>
      </w:r>
      <w:r>
        <w:rPr>
          <w:rFonts w:hint="eastAsia" w:ascii="宋体" w:hAnsi="宋体" w:cs="Arial"/>
          <w:b/>
          <w:color w:val="000000"/>
          <w:kern w:val="0"/>
          <w:sz w:val="24"/>
        </w:rPr>
        <w:t>联系</w:t>
      </w:r>
      <w:r>
        <w:rPr>
          <w:rFonts w:hint="eastAsia" w:ascii="宋体" w:hAnsi="宋体" w:cs="Arial"/>
          <w:b/>
          <w:color w:val="000000"/>
          <w:kern w:val="0"/>
          <w:sz w:val="24"/>
          <w:lang w:val="en-US" w:eastAsia="zh-CN"/>
        </w:rPr>
        <w:t>方式</w:t>
      </w:r>
      <w:r>
        <w:rPr>
          <w:rFonts w:hint="eastAsia" w:ascii="宋体" w:hAnsi="宋体" w:cs="Arial"/>
          <w:b/>
          <w:color w:val="000000"/>
          <w:kern w:val="0"/>
          <w:sz w:val="24"/>
        </w:rPr>
        <w:t xml:space="preserve"> </w:t>
      </w:r>
      <w:r>
        <w:rPr>
          <w:rFonts w:hint="eastAsia" w:ascii="宋体" w:hAnsi="宋体" w:cs="Arial"/>
          <w:b/>
          <w:color w:val="000000"/>
          <w:kern w:val="0"/>
          <w:sz w:val="24"/>
          <w:lang w:val="en-US" w:eastAsia="zh-CN"/>
        </w:rPr>
        <w:t xml:space="preserve"> </w:t>
      </w:r>
    </w:p>
    <w:p>
      <w:pPr>
        <w:wordWrap w:val="0"/>
        <w:spacing w:line="360" w:lineRule="auto"/>
        <w:ind w:firstLine="482" w:firstLineChars="200"/>
        <w:jc w:val="left"/>
        <w:rPr>
          <w:rFonts w:hint="eastAsia" w:ascii="宋体" w:hAnsi="宋体" w:cs="Arial"/>
          <w:color w:val="000000"/>
          <w:kern w:val="0"/>
          <w:sz w:val="24"/>
        </w:rPr>
      </w:pPr>
      <w:r>
        <w:rPr>
          <w:rFonts w:hint="eastAsia" w:ascii="宋体" w:hAnsi="宋体" w:cs="Arial"/>
          <w:b/>
          <w:color w:val="000000"/>
          <w:kern w:val="0"/>
          <w:sz w:val="24"/>
          <w:lang w:eastAsia="zh-CN"/>
        </w:rPr>
        <w:t>招标办：</w:t>
      </w:r>
      <w:r>
        <w:rPr>
          <w:rFonts w:hint="eastAsia" w:ascii="宋体" w:hAnsi="宋体" w:cs="Arial"/>
          <w:color w:val="000000"/>
          <w:kern w:val="0"/>
          <w:sz w:val="24"/>
        </w:rPr>
        <w:t>23209247</w:t>
      </w:r>
      <w:r>
        <w:rPr>
          <w:rFonts w:hint="eastAsia" w:ascii="宋体" w:hAnsi="宋体" w:cs="Arial"/>
          <w:color w:val="000000"/>
          <w:kern w:val="0"/>
          <w:sz w:val="24"/>
          <w:lang w:val="en-US" w:eastAsia="zh-CN"/>
        </w:rPr>
        <w:t xml:space="preserve">  汪老师</w:t>
      </w:r>
      <w:r>
        <w:rPr>
          <w:rFonts w:hint="eastAsia" w:ascii="宋体" w:hAnsi="宋体" w:cs="Arial"/>
          <w:color w:val="000000"/>
          <w:kern w:val="0"/>
          <w:sz w:val="24"/>
        </w:rPr>
        <w:t>、27863999-8033  梁老师。</w:t>
      </w:r>
    </w:p>
    <w:p>
      <w:pPr>
        <w:keepNext w:val="0"/>
        <w:keepLines w:val="0"/>
        <w:pageBreakBefore w:val="0"/>
        <w:widowControl w:val="0"/>
        <w:kinsoku/>
        <w:wordWrap w:val="0"/>
        <w:overflowPunct/>
        <w:topLinePunct w:val="0"/>
        <w:bidi w:val="0"/>
        <w:spacing w:line="360" w:lineRule="auto"/>
        <w:ind w:firstLine="482" w:firstLineChars="200"/>
        <w:jc w:val="left"/>
        <w:rPr>
          <w:rFonts w:hint="eastAsia" w:ascii="宋体" w:hAnsi="宋体" w:cs="Arial"/>
          <w:color w:val="000000"/>
          <w:kern w:val="0"/>
          <w:sz w:val="24"/>
          <w:lang w:val="en-US" w:eastAsia="zh-CN"/>
        </w:rPr>
      </w:pPr>
      <w:r>
        <w:rPr>
          <w:rFonts w:hint="eastAsia" w:ascii="宋体" w:hAnsi="宋体" w:eastAsia="宋体" w:cs="Arial"/>
          <w:b/>
          <w:color w:val="000000"/>
          <w:kern w:val="0"/>
          <w:sz w:val="24"/>
          <w:szCs w:val="24"/>
          <w:lang w:val="en-US" w:eastAsia="zh-CN" w:bidi="ar-SA"/>
        </w:rPr>
        <w:t>归口管理部门：</w:t>
      </w:r>
      <w:r>
        <w:rPr>
          <w:rFonts w:hint="eastAsia" w:ascii="宋体" w:hAnsi="宋体" w:eastAsia="宋体" w:cs="Arial"/>
          <w:b w:val="0"/>
          <w:bCs/>
          <w:color w:val="000000"/>
          <w:kern w:val="0"/>
          <w:sz w:val="24"/>
          <w:szCs w:val="24"/>
          <w:lang w:val="en-US" w:eastAsia="zh-CN" w:bidi="ar-SA"/>
        </w:rPr>
        <w:t>27863999-862</w:t>
      </w:r>
      <w:r>
        <w:rPr>
          <w:rFonts w:hint="eastAsia" w:ascii="宋体" w:hAnsi="宋体" w:cs="Arial"/>
          <w:b w:val="0"/>
          <w:bCs/>
          <w:color w:val="000000"/>
          <w:kern w:val="0"/>
          <w:sz w:val="24"/>
          <w:szCs w:val="24"/>
          <w:lang w:val="en-US" w:eastAsia="zh-CN" w:bidi="ar-SA"/>
        </w:rPr>
        <w:t>7信息</w:t>
      </w:r>
      <w:r>
        <w:rPr>
          <w:rFonts w:hint="eastAsia" w:ascii="宋体" w:hAnsi="宋体" w:eastAsia="宋体" w:cs="Arial"/>
          <w:b w:val="0"/>
          <w:bCs/>
          <w:color w:val="000000"/>
          <w:kern w:val="0"/>
          <w:sz w:val="24"/>
          <w:szCs w:val="24"/>
          <w:lang w:val="en-US" w:eastAsia="zh-CN" w:bidi="ar-SA"/>
        </w:rPr>
        <w:t xml:space="preserve">科 </w:t>
      </w:r>
      <w:r>
        <w:rPr>
          <w:rFonts w:hint="eastAsia" w:ascii="宋体" w:hAnsi="宋体" w:cs="Arial"/>
          <w:b w:val="0"/>
          <w:bCs/>
          <w:color w:val="000000"/>
          <w:kern w:val="0"/>
          <w:sz w:val="24"/>
          <w:szCs w:val="24"/>
          <w:lang w:val="en-US" w:eastAsia="zh-CN" w:bidi="ar-SA"/>
        </w:rPr>
        <w:t>林</w:t>
      </w:r>
      <w:r>
        <w:rPr>
          <w:rFonts w:hint="eastAsia" w:ascii="宋体" w:hAnsi="宋体" w:eastAsia="宋体" w:cs="Arial"/>
          <w:b w:val="0"/>
          <w:bCs/>
          <w:color w:val="000000"/>
          <w:kern w:val="0"/>
          <w:sz w:val="24"/>
          <w:szCs w:val="24"/>
          <w:lang w:val="en-US" w:eastAsia="zh-CN" w:bidi="ar-SA"/>
        </w:rPr>
        <w:t>老师</w:t>
      </w:r>
    </w:p>
    <w:p>
      <w:pPr>
        <w:keepNext w:val="0"/>
        <w:keepLines w:val="0"/>
        <w:pageBreakBefore w:val="0"/>
        <w:widowControl w:val="0"/>
        <w:shd w:val="clear" w:color="auto" w:fill="FFFFFF"/>
        <w:kinsoku/>
        <w:overflowPunct/>
        <w:topLinePunct w:val="0"/>
        <w:bidi w:val="0"/>
        <w:spacing w:before="100" w:beforeAutospacing="1" w:after="100" w:afterAutospacing="1" w:line="240" w:lineRule="auto"/>
        <w:ind w:firstLine="5011" w:firstLineChars="2088"/>
        <w:jc w:val="left"/>
        <w:rPr>
          <w:rFonts w:ascii="宋体" w:hAnsi="宋体" w:cs="宋体-18030"/>
          <w:bCs/>
          <w:color w:val="000000"/>
          <w:sz w:val="24"/>
        </w:rPr>
      </w:pPr>
      <w:r>
        <w:rPr>
          <w:rFonts w:hint="eastAsia" w:ascii="宋体" w:hAnsi="宋体" w:cs="宋体-18030"/>
          <w:bCs/>
          <w:color w:val="000000"/>
          <w:sz w:val="24"/>
        </w:rPr>
        <w:t>深圳市宝安区妇幼保健院</w:t>
      </w:r>
    </w:p>
    <w:p>
      <w:pPr>
        <w:pStyle w:val="31"/>
        <w:keepNext w:val="0"/>
        <w:keepLines w:val="0"/>
        <w:pageBreakBefore w:val="0"/>
        <w:widowControl w:val="0"/>
        <w:kinsoku/>
        <w:overflowPunct/>
        <w:topLinePunct w:val="0"/>
        <w:bidi w:val="0"/>
        <w:spacing w:line="240" w:lineRule="auto"/>
        <w:ind w:left="-1" w:firstLine="5448" w:firstLineChars="2270"/>
        <w:rPr>
          <w:rFonts w:ascii="宋体" w:hAnsi="宋体" w:cs="宋体-18030"/>
          <w:bCs/>
          <w:sz w:val="24"/>
        </w:rPr>
      </w:pPr>
      <w:r>
        <w:rPr>
          <w:rFonts w:hint="eastAsia" w:ascii="宋体" w:hAnsi="宋体" w:cs="宋体-18030"/>
          <w:bCs/>
          <w:sz w:val="24"/>
        </w:rPr>
        <w:t>202</w:t>
      </w:r>
      <w:r>
        <w:rPr>
          <w:rFonts w:hint="eastAsia" w:ascii="宋体" w:hAnsi="宋体" w:cs="宋体-18030"/>
          <w:bCs/>
          <w:sz w:val="24"/>
          <w:lang w:val="en-US" w:eastAsia="zh-CN"/>
        </w:rPr>
        <w:t>5</w:t>
      </w:r>
      <w:r>
        <w:rPr>
          <w:rFonts w:hint="eastAsia" w:ascii="宋体" w:hAnsi="宋体" w:cs="宋体-18030"/>
          <w:bCs/>
          <w:sz w:val="24"/>
        </w:rPr>
        <w:t>年</w:t>
      </w:r>
      <w:r>
        <w:rPr>
          <w:rFonts w:hint="eastAsia" w:ascii="宋体" w:hAnsi="宋体" w:cs="宋体-18030"/>
          <w:bCs/>
          <w:sz w:val="24"/>
          <w:lang w:val="en-US" w:eastAsia="zh-CN"/>
        </w:rPr>
        <w:t>2</w:t>
      </w:r>
      <w:r>
        <w:rPr>
          <w:rFonts w:hint="eastAsia" w:ascii="宋体" w:hAnsi="宋体" w:cs="宋体-18030"/>
          <w:bCs/>
          <w:sz w:val="24"/>
        </w:rPr>
        <w:t>月</w:t>
      </w:r>
      <w:r>
        <w:rPr>
          <w:rFonts w:hint="eastAsia" w:ascii="宋体" w:hAnsi="宋体" w:cs="宋体-18030"/>
          <w:bCs/>
          <w:sz w:val="24"/>
          <w:lang w:val="en-US" w:eastAsia="zh-CN"/>
        </w:rPr>
        <w:t>28</w:t>
      </w:r>
      <w:r>
        <w:rPr>
          <w:rFonts w:hint="eastAsia" w:ascii="宋体" w:hAnsi="宋体" w:cs="宋体-18030"/>
          <w:bCs/>
          <w:sz w:val="24"/>
        </w:rPr>
        <w:t>日</w:t>
      </w:r>
    </w:p>
    <w:p>
      <w:pPr>
        <w:keepNext w:val="0"/>
        <w:keepLines w:val="0"/>
        <w:pageBreakBefore w:val="0"/>
        <w:widowControl w:val="0"/>
        <w:kinsoku/>
        <w:overflowPunct/>
        <w:topLinePunct w:val="0"/>
        <w:bidi w:val="0"/>
        <w:spacing w:after="120" w:line="240" w:lineRule="auto"/>
        <w:ind w:firstLine="4960" w:firstLineChars="2362"/>
      </w:pPr>
      <w:r>
        <w:rPr>
          <w:rFonts w:hint="eastAsia"/>
        </w:rPr>
        <w:br w:type="page"/>
      </w:r>
    </w:p>
    <w:p>
      <w:pPr>
        <w:keepNext w:val="0"/>
        <w:keepLines w:val="0"/>
        <w:pageBreakBefore w:val="0"/>
        <w:widowControl w:val="0"/>
        <w:kinsoku/>
        <w:overflowPunct/>
        <w:topLinePunct w:val="0"/>
        <w:bidi w:val="0"/>
        <w:spacing w:line="360" w:lineRule="atLeast"/>
        <w:jc w:val="center"/>
        <w:rPr>
          <w:rFonts w:ascii="宋体" w:hAnsi="宋体" w:cs="Arial"/>
          <w:b/>
          <w:bCs/>
          <w:color w:val="8A5B44"/>
          <w:kern w:val="0"/>
          <w:sz w:val="36"/>
          <w:szCs w:val="36"/>
        </w:rPr>
      </w:pPr>
      <w:r>
        <w:rPr>
          <w:rFonts w:hint="eastAsia" w:ascii="宋体" w:hAnsi="宋体" w:cs="Arial"/>
          <w:b/>
          <w:bCs/>
          <w:color w:val="8A5B44"/>
          <w:kern w:val="0"/>
          <w:sz w:val="36"/>
          <w:szCs w:val="36"/>
        </w:rPr>
        <w:t>投标须知</w:t>
      </w:r>
    </w:p>
    <w:p>
      <w:pPr>
        <w:keepNext w:val="0"/>
        <w:keepLines w:val="0"/>
        <w:pageBreakBefore w:val="0"/>
        <w:widowControl w:val="0"/>
        <w:kinsoku/>
        <w:overflowPunct/>
        <w:topLinePunct w:val="0"/>
        <w:bidi w:val="0"/>
        <w:rPr>
          <w:szCs w:val="20"/>
        </w:rPr>
      </w:pPr>
    </w:p>
    <w:p>
      <w:pPr>
        <w:keepNext w:val="0"/>
        <w:keepLines w:val="0"/>
        <w:pageBreakBefore w:val="0"/>
        <w:widowControl w:val="0"/>
        <w:numPr>
          <w:ilvl w:val="0"/>
          <w:numId w:val="2"/>
        </w:numPr>
        <w:kinsoku/>
        <w:overflowPunct/>
        <w:topLinePunct w:val="0"/>
        <w:bidi w:val="0"/>
        <w:jc w:val="left"/>
        <w:rPr>
          <w:rFonts w:ascii="宋体" w:hAnsi="宋体"/>
          <w:color w:val="000000"/>
          <w:szCs w:val="21"/>
        </w:rPr>
      </w:pPr>
      <w:r>
        <w:rPr>
          <w:rFonts w:hint="eastAsia" w:ascii="宋体" w:hAnsi="宋体" w:cs="Arial"/>
          <w:color w:val="000000"/>
          <w:kern w:val="0"/>
          <w:szCs w:val="21"/>
        </w:rPr>
        <w:t>投标人须是中华人民共和国境内注册的有合法经营资格的独立法人或其他组织（提供合法有效的营业执照原件扫描件，原件备查），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pPr>
        <w:keepNext w:val="0"/>
        <w:keepLines w:val="0"/>
        <w:pageBreakBefore w:val="0"/>
        <w:widowControl w:val="0"/>
        <w:numPr>
          <w:ilvl w:val="0"/>
          <w:numId w:val="2"/>
        </w:numPr>
        <w:kinsoku/>
        <w:overflowPunct/>
        <w:topLinePunct w:val="0"/>
        <w:bidi w:val="0"/>
        <w:jc w:val="left"/>
        <w:rPr>
          <w:rFonts w:ascii="宋体" w:hAnsi="宋体"/>
          <w:color w:val="000000"/>
          <w:szCs w:val="21"/>
        </w:rPr>
      </w:pPr>
      <w:r>
        <w:rPr>
          <w:rFonts w:hint="eastAsia"/>
        </w:rPr>
        <w:t>投标截止时间前，投标人未被列入失信被执行人、重大税收违法案件当事人名单、政府采购严重违法失信行为记录名单【投标人提供“信用中国”网站（www.creditchina.gov.cn）、中国政府采购网（www.ccgp.gov.cn）信用信息查询记录网络截图作为证明材料】。</w:t>
      </w:r>
    </w:p>
    <w:p>
      <w:pPr>
        <w:keepNext w:val="0"/>
        <w:keepLines w:val="0"/>
        <w:pageBreakBefore w:val="0"/>
        <w:widowControl w:val="0"/>
        <w:numPr>
          <w:ilvl w:val="0"/>
          <w:numId w:val="2"/>
        </w:numPr>
        <w:kinsoku/>
        <w:overflowPunct/>
        <w:topLinePunct w:val="0"/>
        <w:bidi w:val="0"/>
        <w:jc w:val="left"/>
        <w:rPr>
          <w:rFonts w:ascii="宋体" w:hAnsi="宋体" w:cs="Arial"/>
          <w:color w:val="000000"/>
          <w:kern w:val="0"/>
          <w:szCs w:val="21"/>
        </w:rPr>
      </w:pPr>
      <w:r>
        <w:rPr>
          <w:rFonts w:hint="eastAsia"/>
        </w:rPr>
        <w:t>投标人参与本项目投标前三年内，在经营活动中没有重大违法记录，不存在被有关部门禁止参与政府采购活动。</w:t>
      </w:r>
      <w:r>
        <w:rPr>
          <w:rFonts w:hint="eastAsia" w:ascii="宋体" w:hAnsi="宋体"/>
          <w:szCs w:val="21"/>
        </w:rPr>
        <w:t>非单一来源竞价须三家或三家以上投标单位。</w:t>
      </w:r>
      <w:r>
        <w:rPr>
          <w:rFonts w:hint="eastAsia" w:ascii="宋体" w:hAnsi="宋体"/>
          <w:color w:val="000000"/>
          <w:szCs w:val="21"/>
        </w:rPr>
        <w:t>价格高于宝安区妇幼保健院拟定的底价为废标。</w:t>
      </w:r>
    </w:p>
    <w:p>
      <w:pPr>
        <w:keepNext w:val="0"/>
        <w:keepLines w:val="0"/>
        <w:pageBreakBefore w:val="0"/>
        <w:widowControl w:val="0"/>
        <w:numPr>
          <w:ilvl w:val="0"/>
          <w:numId w:val="2"/>
        </w:numPr>
        <w:kinsoku/>
        <w:overflowPunct/>
        <w:topLinePunct w:val="0"/>
        <w:bidi w:val="0"/>
        <w:jc w:val="left"/>
        <w:rPr>
          <w:rFonts w:ascii="宋体" w:hAnsi="宋体"/>
          <w:color w:val="000000"/>
          <w:szCs w:val="21"/>
        </w:rPr>
      </w:pPr>
      <w:r>
        <w:rPr>
          <w:rFonts w:hint="eastAsia" w:ascii="宋体" w:hAnsi="宋体" w:cs="Arial"/>
          <w:color w:val="000000"/>
          <w:kern w:val="0"/>
          <w:szCs w:val="21"/>
        </w:rPr>
        <w:t>投标人必须在其投标文件中根据产品特点提供产品使用培训等技术服务的详细内容，技术服务的价格计入投标总价。</w:t>
      </w:r>
    </w:p>
    <w:p>
      <w:pPr>
        <w:keepNext w:val="0"/>
        <w:keepLines w:val="0"/>
        <w:pageBreakBefore w:val="0"/>
        <w:widowControl w:val="0"/>
        <w:numPr>
          <w:ilvl w:val="0"/>
          <w:numId w:val="2"/>
        </w:numPr>
        <w:kinsoku/>
        <w:overflowPunct/>
        <w:topLinePunct w:val="0"/>
        <w:bidi w:val="0"/>
        <w:jc w:val="left"/>
        <w:rPr>
          <w:rFonts w:ascii="宋体" w:hAnsi="宋体"/>
          <w:color w:val="000000"/>
          <w:szCs w:val="21"/>
        </w:rPr>
      </w:pPr>
      <w:r>
        <w:rPr>
          <w:rFonts w:hint="eastAsia" w:ascii="宋体" w:hAnsi="宋体"/>
          <w:color w:val="000000"/>
          <w:szCs w:val="21"/>
        </w:rPr>
        <w:t>标价应为含税实际价格，包括验收合格前所发生的一切费用。</w:t>
      </w:r>
    </w:p>
    <w:p>
      <w:pPr>
        <w:keepNext w:val="0"/>
        <w:keepLines w:val="0"/>
        <w:pageBreakBefore w:val="0"/>
        <w:widowControl w:val="0"/>
        <w:numPr>
          <w:ilvl w:val="0"/>
          <w:numId w:val="2"/>
        </w:numPr>
        <w:kinsoku/>
        <w:overflowPunct/>
        <w:topLinePunct w:val="0"/>
        <w:bidi w:val="0"/>
        <w:jc w:val="left"/>
        <w:rPr>
          <w:rFonts w:ascii="宋体" w:hAnsi="宋体" w:cs="Arial"/>
          <w:color w:val="000000"/>
          <w:kern w:val="0"/>
          <w:szCs w:val="21"/>
        </w:rPr>
      </w:pPr>
      <w:r>
        <w:rPr>
          <w:rFonts w:hint="eastAsia" w:ascii="宋体" w:hAnsi="宋体" w:cs="Arial"/>
          <w:color w:val="000000"/>
          <w:kern w:val="0"/>
          <w:szCs w:val="21"/>
        </w:rPr>
        <w:t>投标费用：不论投标的结果如何，投标人必须自行承担与参加投标有关的所有费用。</w:t>
      </w:r>
    </w:p>
    <w:p>
      <w:pPr>
        <w:keepNext w:val="0"/>
        <w:keepLines w:val="0"/>
        <w:pageBreakBefore w:val="0"/>
        <w:widowControl w:val="0"/>
        <w:numPr>
          <w:ilvl w:val="0"/>
          <w:numId w:val="2"/>
        </w:numPr>
        <w:kinsoku/>
        <w:overflowPunct/>
        <w:topLinePunct w:val="0"/>
        <w:bidi w:val="0"/>
        <w:jc w:val="left"/>
        <w:rPr>
          <w:rFonts w:ascii="宋体" w:hAnsi="宋体" w:cs="Arial"/>
          <w:color w:val="000000"/>
          <w:kern w:val="0"/>
          <w:szCs w:val="21"/>
        </w:rPr>
      </w:pPr>
      <w:r>
        <w:rPr>
          <w:rFonts w:hint="eastAsia" w:ascii="宋体" w:hAnsi="宋体" w:cs="Arial"/>
          <w:color w:val="000000"/>
          <w:kern w:val="0"/>
          <w:szCs w:val="21"/>
        </w:rPr>
        <w:t>投标人应提供</w:t>
      </w:r>
      <w:r>
        <w:rPr>
          <w:rFonts w:ascii="宋体" w:hAnsi="宋体" w:cs="Arial"/>
          <w:color w:val="FF0000"/>
          <w:kern w:val="0"/>
          <w:szCs w:val="21"/>
        </w:rPr>
        <w:t>6</w:t>
      </w:r>
      <w:r>
        <w:rPr>
          <w:rFonts w:hint="eastAsia" w:ascii="宋体" w:hAnsi="宋体" w:cs="Arial"/>
          <w:color w:val="FF0000"/>
          <w:kern w:val="0"/>
          <w:szCs w:val="21"/>
        </w:rPr>
        <w:t>份投标书(1正</w:t>
      </w:r>
      <w:r>
        <w:rPr>
          <w:rFonts w:ascii="宋体" w:hAnsi="宋体" w:cs="Arial"/>
          <w:color w:val="FF0000"/>
          <w:kern w:val="0"/>
          <w:szCs w:val="21"/>
        </w:rPr>
        <w:t>5</w:t>
      </w:r>
      <w:r>
        <w:rPr>
          <w:rFonts w:hint="eastAsia" w:ascii="宋体" w:hAnsi="宋体" w:cs="Arial"/>
          <w:color w:val="FF0000"/>
          <w:kern w:val="0"/>
          <w:szCs w:val="21"/>
        </w:rPr>
        <w:t>副)</w:t>
      </w:r>
      <w:r>
        <w:rPr>
          <w:rFonts w:hint="eastAsia" w:ascii="宋体" w:hAnsi="宋体" w:cs="Arial"/>
          <w:color w:val="000000"/>
          <w:kern w:val="0"/>
          <w:szCs w:val="21"/>
        </w:rPr>
        <w:t>，每份投标书须清楚地标明“正本”或“副本”字样，正本与副本必须一致；若正本与副本不一致，以正本为准。每份投标书须由投标人法人或其授权代表正确签署。</w:t>
      </w:r>
    </w:p>
    <w:p>
      <w:pPr>
        <w:keepNext w:val="0"/>
        <w:keepLines w:val="0"/>
        <w:pageBreakBefore w:val="0"/>
        <w:widowControl w:val="0"/>
        <w:numPr>
          <w:ilvl w:val="0"/>
          <w:numId w:val="2"/>
        </w:numPr>
        <w:kinsoku/>
        <w:overflowPunct/>
        <w:topLinePunct w:val="0"/>
        <w:bidi w:val="0"/>
        <w:jc w:val="left"/>
        <w:rPr>
          <w:rFonts w:ascii="宋体" w:hAnsi="宋体" w:cs="Arial"/>
          <w:color w:val="000000"/>
          <w:kern w:val="0"/>
          <w:szCs w:val="21"/>
        </w:rPr>
      </w:pPr>
      <w:r>
        <w:rPr>
          <w:rFonts w:hint="eastAsia" w:ascii="宋体" w:hAnsi="宋体" w:cs="Arial"/>
          <w:color w:val="000000"/>
          <w:kern w:val="0"/>
          <w:szCs w:val="21"/>
        </w:rPr>
        <w:t>投标人提供的所有书面文件材料(</w:t>
      </w:r>
      <w:r>
        <w:rPr>
          <w:rFonts w:ascii="宋体" w:hAnsi="宋体" w:cs="Arial"/>
          <w:color w:val="000000"/>
          <w:kern w:val="0"/>
          <w:szCs w:val="21"/>
        </w:rPr>
        <w:t>每页</w:t>
      </w:r>
      <w:r>
        <w:rPr>
          <w:rFonts w:hint="eastAsia" w:ascii="宋体" w:hAnsi="宋体" w:cs="Arial"/>
          <w:color w:val="000000"/>
          <w:kern w:val="0"/>
          <w:szCs w:val="21"/>
        </w:rPr>
        <w:t>)均须加盖公司印章。</w:t>
      </w:r>
    </w:p>
    <w:p>
      <w:pPr>
        <w:keepNext w:val="0"/>
        <w:keepLines w:val="0"/>
        <w:pageBreakBefore w:val="0"/>
        <w:widowControl w:val="0"/>
        <w:numPr>
          <w:ilvl w:val="0"/>
          <w:numId w:val="2"/>
        </w:numPr>
        <w:kinsoku/>
        <w:overflowPunct/>
        <w:topLinePunct w:val="0"/>
        <w:bidi w:val="0"/>
        <w:jc w:val="left"/>
        <w:rPr>
          <w:rFonts w:ascii="宋体" w:hAnsi="宋体" w:cs="Arial"/>
          <w:color w:val="000000"/>
          <w:kern w:val="0"/>
          <w:szCs w:val="21"/>
        </w:rPr>
      </w:pPr>
      <w:r>
        <w:rPr>
          <w:rFonts w:hint="eastAsia" w:ascii="宋体" w:hAnsi="宋体" w:cs="Arial"/>
          <w:color w:val="000000"/>
          <w:kern w:val="0"/>
          <w:szCs w:val="21"/>
        </w:rPr>
        <w:t>投标人提供的证明文件材料必须是真实的，若经核实有虚假证明文件则作废标处理，宝安区妇幼保健院将拒付该中标产品所使用费用款项，并将投标人列入黑名单，3年内禁止其参加宝安区妇幼保健院招标采购活动。</w:t>
      </w:r>
    </w:p>
    <w:p>
      <w:pPr>
        <w:keepNext w:val="0"/>
        <w:keepLines w:val="0"/>
        <w:pageBreakBefore w:val="0"/>
        <w:widowControl w:val="0"/>
        <w:numPr>
          <w:ilvl w:val="0"/>
          <w:numId w:val="2"/>
        </w:numPr>
        <w:kinsoku/>
        <w:overflowPunct/>
        <w:topLinePunct w:val="0"/>
        <w:bidi w:val="0"/>
        <w:jc w:val="left"/>
        <w:rPr>
          <w:rFonts w:ascii="宋体" w:hAnsi="宋体" w:cs="Arial"/>
          <w:color w:val="000000"/>
          <w:kern w:val="0"/>
          <w:szCs w:val="21"/>
        </w:rPr>
      </w:pPr>
      <w:r>
        <w:rPr>
          <w:rFonts w:hint="eastAsia" w:ascii="宋体" w:hAnsi="宋体" w:cs="Arial"/>
          <w:color w:val="000000"/>
          <w:kern w:val="0"/>
          <w:szCs w:val="21"/>
        </w:rPr>
        <w:t>投标人必须接受：需方的采购谈判方法；需方不向落标方解释落标原因，不一定以最低价中标、不退还谈判响应文件。</w:t>
      </w:r>
    </w:p>
    <w:p>
      <w:pPr>
        <w:keepNext w:val="0"/>
        <w:keepLines w:val="0"/>
        <w:pageBreakBefore w:val="0"/>
        <w:widowControl w:val="0"/>
        <w:numPr>
          <w:ilvl w:val="0"/>
          <w:numId w:val="2"/>
        </w:numPr>
        <w:kinsoku/>
        <w:overflowPunct/>
        <w:topLinePunct w:val="0"/>
        <w:bidi w:val="0"/>
        <w:jc w:val="left"/>
        <w:rPr>
          <w:rFonts w:ascii="宋体" w:hAnsi="宋体" w:cs="Arial"/>
          <w:color w:val="000000"/>
          <w:kern w:val="0"/>
          <w:szCs w:val="21"/>
        </w:rPr>
      </w:pPr>
      <w:r>
        <w:rPr>
          <w:rFonts w:hint="eastAsia" w:ascii="宋体" w:hAnsi="宋体" w:cs="Arial"/>
          <w:color w:val="000000"/>
          <w:kern w:val="0"/>
          <w:szCs w:val="21"/>
        </w:rPr>
        <w:t>除买方事先书面同意外，卖方不得将自己应履行的全部或部分合同义务转让给他人。</w:t>
      </w:r>
    </w:p>
    <w:p>
      <w:pPr>
        <w:keepNext w:val="0"/>
        <w:keepLines w:val="0"/>
        <w:pageBreakBefore w:val="0"/>
        <w:widowControl w:val="0"/>
        <w:numPr>
          <w:ilvl w:val="0"/>
          <w:numId w:val="2"/>
        </w:numPr>
        <w:kinsoku/>
        <w:overflowPunct/>
        <w:topLinePunct w:val="0"/>
        <w:bidi w:val="0"/>
        <w:jc w:val="left"/>
        <w:rPr>
          <w:rFonts w:ascii="宋体" w:hAnsi="宋体" w:cs="Arial"/>
          <w:color w:val="000000"/>
          <w:kern w:val="0"/>
          <w:szCs w:val="21"/>
        </w:rPr>
      </w:pPr>
      <w:r>
        <w:rPr>
          <w:rFonts w:hint="eastAsia" w:ascii="宋体" w:hAnsi="宋体" w:cs="Arial"/>
          <w:color w:val="000000"/>
          <w:kern w:val="0"/>
          <w:szCs w:val="21"/>
        </w:rPr>
        <w:t>经宝安区妇幼保健院评审小组确认预中标单位，经公示3天由招标办通知领取中标/成交结果通知书，凭通知书10天内到宝安区妇幼保健院采购部门签订供货合同。</w:t>
      </w:r>
    </w:p>
    <w:p>
      <w:pPr>
        <w:keepNext w:val="0"/>
        <w:keepLines w:val="0"/>
        <w:pageBreakBefore w:val="0"/>
        <w:widowControl w:val="0"/>
        <w:numPr>
          <w:ilvl w:val="0"/>
          <w:numId w:val="2"/>
        </w:numPr>
        <w:kinsoku/>
        <w:overflowPunct/>
        <w:topLinePunct w:val="0"/>
        <w:bidi w:val="0"/>
        <w:jc w:val="left"/>
        <w:rPr>
          <w:rFonts w:ascii="宋体" w:hAnsi="宋体" w:cs="Arial"/>
          <w:color w:val="000000"/>
          <w:kern w:val="0"/>
          <w:szCs w:val="21"/>
        </w:rPr>
      </w:pPr>
      <w:r>
        <w:rPr>
          <w:rFonts w:hint="eastAsia" w:ascii="宋体" w:hAnsi="宋体" w:cs="Arial"/>
          <w:color w:val="000000"/>
          <w:kern w:val="0"/>
          <w:szCs w:val="21"/>
        </w:rPr>
        <w:t>如中标人无法履行合同或提供的产品无法满足实际需要，该项目可重新组织招标或转由综合得分排名第二的供应商提供服务，若综合得分排名第二的供应商不同意提供服务，则转由综合得分排名第三的供应商提供服务，并重新签订合同（采购期限以第一中标供应商的合同执行期限为准）</w:t>
      </w:r>
    </w:p>
    <w:p>
      <w:pPr>
        <w:keepNext w:val="0"/>
        <w:keepLines w:val="0"/>
        <w:pageBreakBefore w:val="0"/>
        <w:widowControl w:val="0"/>
        <w:numPr>
          <w:ilvl w:val="0"/>
          <w:numId w:val="2"/>
        </w:numPr>
        <w:kinsoku/>
        <w:overflowPunct/>
        <w:topLinePunct w:val="0"/>
        <w:bidi w:val="0"/>
        <w:jc w:val="left"/>
        <w:rPr>
          <w:rFonts w:ascii="宋体" w:hAnsi="宋体" w:cs="Arial"/>
          <w:color w:val="000000"/>
          <w:kern w:val="0"/>
          <w:szCs w:val="21"/>
        </w:rPr>
      </w:pPr>
      <w:r>
        <w:rPr>
          <w:rFonts w:hint="eastAsia" w:ascii="宋体" w:hAnsi="宋体" w:cs="Arial"/>
          <w:color w:val="000000"/>
          <w:kern w:val="0"/>
          <w:szCs w:val="21"/>
        </w:rPr>
        <w:t>本项目不得转包、拆包，不接受联合体投标。</w:t>
      </w:r>
      <w:r>
        <w:rPr>
          <w:rFonts w:hint="eastAsia" w:ascii="宋体" w:hAnsi="宋体" w:cs="Arial"/>
          <w:color w:val="000000"/>
          <w:kern w:val="0"/>
          <w:szCs w:val="21"/>
        </w:rPr>
        <w:br w:type="page"/>
      </w:r>
    </w:p>
    <w:p>
      <w:pPr>
        <w:keepNext w:val="0"/>
        <w:keepLines w:val="0"/>
        <w:pageBreakBefore w:val="0"/>
        <w:widowControl w:val="0"/>
        <w:kinsoku/>
        <w:overflowPunct/>
        <w:topLinePunct w:val="0"/>
        <w:bidi w:val="0"/>
        <w:spacing w:line="360" w:lineRule="atLeast"/>
        <w:jc w:val="center"/>
        <w:rPr>
          <w:rFonts w:ascii="宋体" w:hAnsi="宋体" w:cs="Arial"/>
          <w:b/>
          <w:bCs/>
          <w:color w:val="993300"/>
          <w:kern w:val="0"/>
          <w:sz w:val="36"/>
          <w:szCs w:val="36"/>
        </w:rPr>
      </w:pPr>
      <w:r>
        <w:rPr>
          <w:rFonts w:hint="eastAsia" w:ascii="宋体" w:hAnsi="宋体" w:cs="Arial"/>
          <w:b/>
          <w:bCs/>
          <w:color w:val="993300"/>
          <w:kern w:val="0"/>
          <w:sz w:val="36"/>
          <w:szCs w:val="36"/>
        </w:rPr>
        <w:t>评标方法和程序</w:t>
      </w:r>
    </w:p>
    <w:p>
      <w:pPr>
        <w:keepNext w:val="0"/>
        <w:keepLines w:val="0"/>
        <w:pageBreakBefore w:val="0"/>
        <w:widowControl w:val="0"/>
        <w:kinsoku/>
        <w:overflowPunct/>
        <w:topLinePunct w:val="0"/>
        <w:bidi w:val="0"/>
        <w:rPr>
          <w:b/>
          <w:bCs/>
        </w:rPr>
      </w:pPr>
      <w:r>
        <w:rPr>
          <w:rFonts w:hint="eastAsia"/>
          <w:b/>
          <w:bCs/>
        </w:rPr>
        <w:t>一、评审响应文件</w:t>
      </w:r>
    </w:p>
    <w:p>
      <w:pPr>
        <w:keepNext w:val="0"/>
        <w:keepLines w:val="0"/>
        <w:pageBreakBefore w:val="0"/>
        <w:widowControl w:val="0"/>
        <w:kinsoku/>
        <w:overflowPunct/>
        <w:topLinePunct w:val="0"/>
        <w:bidi w:val="0"/>
        <w:snapToGrid w:val="0"/>
        <w:rPr>
          <w:rFonts w:ascii="宋体" w:hAnsi="宋体" w:cs="宋体"/>
          <w:bCs/>
          <w:kern w:val="0"/>
          <w:szCs w:val="21"/>
        </w:rPr>
      </w:pPr>
      <w:r>
        <w:rPr>
          <w:rFonts w:hint="eastAsia" w:ascii="宋体" w:hAnsi="宋体" w:cs="宋体"/>
          <w:bCs/>
          <w:kern w:val="0"/>
          <w:szCs w:val="21"/>
        </w:rPr>
        <w:t>1.在初审阶段，属于下列情况的投标书将不能进入复审阶段：</w:t>
      </w:r>
    </w:p>
    <w:p>
      <w:pPr>
        <w:keepNext w:val="0"/>
        <w:keepLines w:val="0"/>
        <w:pageBreakBefore w:val="0"/>
        <w:widowControl w:val="0"/>
        <w:kinsoku/>
        <w:overflowPunct/>
        <w:topLinePunct w:val="0"/>
        <w:bidi w:val="0"/>
        <w:snapToGrid w:val="0"/>
        <w:rPr>
          <w:rFonts w:ascii="宋体" w:hAnsi="宋体" w:cs="宋体"/>
          <w:bCs/>
          <w:kern w:val="0"/>
          <w:szCs w:val="21"/>
        </w:rPr>
      </w:pPr>
      <w:r>
        <w:rPr>
          <w:rFonts w:hint="eastAsia" w:ascii="宋体" w:hAnsi="宋体" w:cs="宋体"/>
          <w:bCs/>
          <w:kern w:val="0"/>
          <w:szCs w:val="21"/>
        </w:rPr>
        <w:t>(1)投标书法定代表人或其授权代表签字、盖章模糊无法辨认的；</w:t>
      </w:r>
    </w:p>
    <w:p>
      <w:pPr>
        <w:keepNext w:val="0"/>
        <w:keepLines w:val="0"/>
        <w:pageBreakBefore w:val="0"/>
        <w:widowControl w:val="0"/>
        <w:kinsoku/>
        <w:overflowPunct/>
        <w:topLinePunct w:val="0"/>
        <w:bidi w:val="0"/>
        <w:snapToGrid w:val="0"/>
        <w:rPr>
          <w:rFonts w:ascii="宋体" w:hAnsi="宋体" w:cs="宋体"/>
          <w:bCs/>
          <w:kern w:val="0"/>
          <w:szCs w:val="21"/>
        </w:rPr>
      </w:pPr>
      <w:r>
        <w:rPr>
          <w:rFonts w:hint="eastAsia" w:ascii="宋体" w:hAnsi="宋体" w:cs="宋体"/>
          <w:bCs/>
          <w:kern w:val="0"/>
          <w:szCs w:val="21"/>
        </w:rPr>
        <w:t>(2)所提供文件资料存在故意隐瞒或提供不实内容的；</w:t>
      </w:r>
    </w:p>
    <w:p>
      <w:pPr>
        <w:keepNext w:val="0"/>
        <w:keepLines w:val="0"/>
        <w:pageBreakBefore w:val="0"/>
        <w:widowControl w:val="0"/>
        <w:kinsoku/>
        <w:overflowPunct/>
        <w:topLinePunct w:val="0"/>
        <w:bidi w:val="0"/>
        <w:snapToGrid w:val="0"/>
        <w:rPr>
          <w:rFonts w:ascii="宋体" w:hAnsi="宋体" w:cs="宋体"/>
          <w:bCs/>
          <w:kern w:val="0"/>
          <w:szCs w:val="21"/>
        </w:rPr>
      </w:pPr>
      <w:r>
        <w:rPr>
          <w:rFonts w:hint="eastAsia" w:ascii="宋体" w:hAnsi="宋体" w:cs="宋体"/>
          <w:bCs/>
          <w:kern w:val="0"/>
          <w:szCs w:val="21"/>
        </w:rPr>
        <w:t>(3)提供资质材料不完整的。</w:t>
      </w:r>
    </w:p>
    <w:p>
      <w:pPr>
        <w:keepNext w:val="0"/>
        <w:keepLines w:val="0"/>
        <w:pageBreakBefore w:val="0"/>
        <w:widowControl w:val="0"/>
        <w:kinsoku/>
        <w:overflowPunct/>
        <w:topLinePunct w:val="0"/>
        <w:bidi w:val="0"/>
        <w:snapToGrid w:val="0"/>
        <w:rPr>
          <w:rFonts w:ascii="宋体" w:hAnsi="宋体" w:cs="宋体"/>
          <w:bCs/>
          <w:kern w:val="0"/>
          <w:szCs w:val="21"/>
        </w:rPr>
      </w:pPr>
      <w:r>
        <w:rPr>
          <w:rFonts w:hint="eastAsia" w:ascii="宋体" w:hAnsi="宋体" w:cs="宋体"/>
          <w:bCs/>
          <w:kern w:val="0"/>
          <w:szCs w:val="21"/>
        </w:rPr>
        <w:t>2.评标工作由医院专门组织的评标小组进行资格性和符合性评审,未通过</w:t>
      </w:r>
      <w:r>
        <w:rPr>
          <w:rFonts w:hint="eastAsia" w:ascii="宋体" w:hAnsi="宋体"/>
          <w:bCs/>
          <w:szCs w:val="21"/>
        </w:rPr>
        <w:t>资格性、</w:t>
      </w:r>
      <w:r>
        <w:rPr>
          <w:rFonts w:hint="eastAsia" w:ascii="宋体" w:hAnsi="宋体" w:cs="宋体"/>
          <w:bCs/>
          <w:kern w:val="0"/>
          <w:szCs w:val="21"/>
        </w:rPr>
        <w:t>符合性审查的投标人，不进入技术、商务和价格评审。</w:t>
      </w:r>
    </w:p>
    <w:p>
      <w:pPr>
        <w:keepNext w:val="0"/>
        <w:keepLines w:val="0"/>
        <w:pageBreakBefore w:val="0"/>
        <w:widowControl w:val="0"/>
        <w:kinsoku/>
        <w:overflowPunct/>
        <w:topLinePunct w:val="0"/>
        <w:bidi w:val="0"/>
        <w:rPr>
          <w:b/>
          <w:bCs/>
        </w:rPr>
      </w:pPr>
      <w:r>
        <w:rPr>
          <w:rFonts w:hint="eastAsia"/>
          <w:b/>
          <w:bCs/>
        </w:rPr>
        <w:t>二、评审小组</w:t>
      </w:r>
    </w:p>
    <w:p>
      <w:pPr>
        <w:keepNext w:val="0"/>
        <w:keepLines w:val="0"/>
        <w:pageBreakBefore w:val="0"/>
        <w:widowControl w:val="0"/>
        <w:kinsoku/>
        <w:overflowPunct/>
        <w:topLinePunct w:val="0"/>
        <w:bidi w:val="0"/>
        <w:rPr>
          <w:rFonts w:ascii="宋体" w:hAnsi="宋体"/>
        </w:rPr>
      </w:pPr>
      <w:r>
        <w:rPr>
          <w:rFonts w:hint="eastAsia" w:ascii="宋体" w:hAnsi="宋体"/>
        </w:rPr>
        <w:t>1.评审小组依法由5人（含）以上奇数的人员组成。</w:t>
      </w:r>
    </w:p>
    <w:p>
      <w:pPr>
        <w:keepNext w:val="0"/>
        <w:keepLines w:val="0"/>
        <w:pageBreakBefore w:val="0"/>
        <w:widowControl w:val="0"/>
        <w:kinsoku/>
        <w:overflowPunct/>
        <w:topLinePunct w:val="0"/>
        <w:bidi w:val="0"/>
        <w:rPr>
          <w:rFonts w:ascii="宋体" w:hAnsi="宋体"/>
        </w:rPr>
      </w:pPr>
      <w:r>
        <w:rPr>
          <w:rFonts w:hint="eastAsia" w:ascii="宋体" w:hAnsi="宋体"/>
        </w:rPr>
        <w:t>2.评审期间，投标人全权代表必须在场，负责解答有关事宜。</w:t>
      </w:r>
    </w:p>
    <w:p>
      <w:pPr>
        <w:keepNext w:val="0"/>
        <w:keepLines w:val="0"/>
        <w:pageBreakBefore w:val="0"/>
        <w:widowControl w:val="0"/>
        <w:kinsoku/>
        <w:overflowPunct/>
        <w:topLinePunct w:val="0"/>
        <w:bidi w:val="0"/>
        <w:rPr>
          <w:rFonts w:ascii="宋体" w:hAnsi="宋体"/>
        </w:rPr>
      </w:pPr>
      <w:r>
        <w:rPr>
          <w:rFonts w:hint="eastAsia" w:ascii="宋体" w:hAnsi="宋体"/>
        </w:rPr>
        <w:t>3.评审活动依法进行，任何单位和个人不得非法干预评标过程和结果。</w:t>
      </w:r>
    </w:p>
    <w:p>
      <w:pPr>
        <w:keepNext w:val="0"/>
        <w:keepLines w:val="0"/>
        <w:pageBreakBefore w:val="0"/>
        <w:widowControl w:val="0"/>
        <w:kinsoku/>
        <w:overflowPunct/>
        <w:topLinePunct w:val="0"/>
        <w:bidi w:val="0"/>
        <w:rPr>
          <w:b/>
          <w:bCs/>
        </w:rPr>
      </w:pPr>
      <w:r>
        <w:rPr>
          <w:rFonts w:hint="eastAsia"/>
          <w:b/>
          <w:bCs/>
        </w:rPr>
        <w:t>三、采购评审原则与方法</w:t>
      </w:r>
    </w:p>
    <w:p>
      <w:pPr>
        <w:keepNext w:val="0"/>
        <w:keepLines w:val="0"/>
        <w:pageBreakBefore w:val="0"/>
        <w:widowControl w:val="0"/>
        <w:kinsoku/>
        <w:overflowPunct/>
        <w:topLinePunct w:val="0"/>
        <w:bidi w:val="0"/>
        <w:rPr>
          <w:rFonts w:ascii="宋体" w:hAnsi="宋体"/>
        </w:rPr>
      </w:pPr>
      <w:r>
        <w:rPr>
          <w:rFonts w:hint="eastAsia" w:ascii="宋体" w:hAnsi="宋体"/>
        </w:rPr>
        <w:t>1、</w:t>
      </w:r>
      <w:r>
        <w:rPr>
          <w:rFonts w:hint="eastAsia" w:ascii="宋体" w:hAnsi="宋体"/>
          <w:color w:val="000000" w:themeColor="text1"/>
          <w14:textFill>
            <w14:solidFill>
              <w14:schemeClr w14:val="tx1"/>
            </w14:solidFill>
          </w14:textFill>
        </w:rPr>
        <w:t>将采用</w:t>
      </w:r>
      <w:r>
        <w:rPr>
          <w:rFonts w:hint="eastAsia" w:ascii="宋体" w:hAnsi="宋体"/>
          <w:b/>
          <w:bCs/>
          <w:color w:val="FF0000"/>
        </w:rPr>
        <w:t>综合评分法</w:t>
      </w:r>
      <w:r>
        <w:rPr>
          <w:rFonts w:hint="eastAsia" w:ascii="宋体" w:hAnsi="宋体"/>
        </w:rPr>
        <w:t>，择优选择。即按照招标文件中规定的包括技术、商务、价格等因素进行综合评分，价格采用多轮报价，以最终报价为准。以综合评分最后得分高低确定第一中标候选人、第二中标候选人、第三中标候选人。第一中标候选人并列的，由采购人采取随机抽取的方式确定中标人。</w:t>
      </w:r>
    </w:p>
    <w:p>
      <w:pPr>
        <w:keepNext w:val="0"/>
        <w:keepLines w:val="0"/>
        <w:pageBreakBefore w:val="0"/>
        <w:widowControl w:val="0"/>
        <w:kinsoku/>
        <w:overflowPunct/>
        <w:topLinePunct w:val="0"/>
        <w:bidi w:val="0"/>
        <w:rPr>
          <w:rFonts w:ascii="宋体" w:hAnsi="宋体"/>
        </w:rPr>
      </w:pPr>
      <w:r>
        <w:rPr>
          <w:rFonts w:hint="eastAsia" w:ascii="宋体" w:hAnsi="宋体"/>
        </w:rPr>
        <w:t>2、在采购过程中，出现下列情形之一的，应予废标：</w:t>
      </w:r>
    </w:p>
    <w:p>
      <w:pPr>
        <w:keepNext w:val="0"/>
        <w:keepLines w:val="0"/>
        <w:pageBreakBefore w:val="0"/>
        <w:widowControl w:val="0"/>
        <w:kinsoku/>
        <w:overflowPunct/>
        <w:topLinePunct w:val="0"/>
        <w:bidi w:val="0"/>
        <w:rPr>
          <w:rFonts w:ascii="宋体" w:hAnsi="宋体"/>
        </w:rPr>
      </w:pPr>
      <w:r>
        <w:rPr>
          <w:rFonts w:hint="eastAsia" w:ascii="宋体" w:hAnsi="宋体"/>
        </w:rPr>
        <w:t>（1）出现影响采购公正的违法、违规行为的；</w:t>
      </w:r>
    </w:p>
    <w:p>
      <w:pPr>
        <w:keepNext w:val="0"/>
        <w:keepLines w:val="0"/>
        <w:pageBreakBefore w:val="0"/>
        <w:widowControl w:val="0"/>
        <w:kinsoku/>
        <w:overflowPunct/>
        <w:topLinePunct w:val="0"/>
        <w:bidi w:val="0"/>
        <w:rPr>
          <w:rFonts w:ascii="宋体" w:hAnsi="宋体"/>
        </w:rPr>
      </w:pPr>
      <w:r>
        <w:rPr>
          <w:rFonts w:hint="eastAsia" w:ascii="宋体" w:hAnsi="宋体"/>
        </w:rPr>
        <w:t>（2）因重大变故，采购任务取消的；</w:t>
      </w:r>
    </w:p>
    <w:p>
      <w:pPr>
        <w:keepNext w:val="0"/>
        <w:keepLines w:val="0"/>
        <w:pageBreakBefore w:val="0"/>
        <w:widowControl w:val="0"/>
        <w:kinsoku/>
        <w:overflowPunct/>
        <w:topLinePunct w:val="0"/>
        <w:bidi w:val="0"/>
        <w:rPr>
          <w:rFonts w:ascii="宋体" w:hAnsi="宋体"/>
        </w:rPr>
      </w:pPr>
      <w:r>
        <w:rPr>
          <w:rFonts w:hint="eastAsia" w:ascii="宋体" w:hAnsi="宋体"/>
        </w:rPr>
        <w:t>（3）其他经评审小组一致认定应予废标情形的。</w:t>
      </w:r>
    </w:p>
    <w:p>
      <w:pPr>
        <w:keepNext w:val="0"/>
        <w:keepLines w:val="0"/>
        <w:pageBreakBefore w:val="0"/>
        <w:widowControl w:val="0"/>
        <w:kinsoku/>
        <w:overflowPunct/>
        <w:topLinePunct w:val="0"/>
        <w:bidi w:val="0"/>
        <w:rPr>
          <w:rFonts w:ascii="宋体" w:hAnsi="宋体"/>
        </w:rPr>
      </w:pPr>
      <w:r>
        <w:rPr>
          <w:rFonts w:hint="eastAsia" w:ascii="宋体" w:hAnsi="宋体"/>
        </w:rPr>
        <w:t>3、在采购过程中，投标人投标报价明显超过市场平均价格，评审小组经评审后一致认定报价不合理的，可以认定其报价无效。</w:t>
      </w:r>
    </w:p>
    <w:p>
      <w:pPr>
        <w:keepNext w:val="0"/>
        <w:keepLines w:val="0"/>
        <w:pageBreakBefore w:val="0"/>
        <w:widowControl w:val="0"/>
        <w:kinsoku/>
        <w:overflowPunct/>
        <w:topLinePunct w:val="0"/>
        <w:bidi w:val="0"/>
      </w:pPr>
      <w:r>
        <w:rPr>
          <w:rFonts w:hint="eastAsia" w:ascii="宋体" w:hAnsi="宋体"/>
        </w:rPr>
        <w:t>4、需方不向落标方解释落标原因，不一定以最低价中标，不退还谈判响应文件。</w:t>
      </w:r>
    </w:p>
    <w:p>
      <w:pPr>
        <w:keepNext w:val="0"/>
        <w:keepLines w:val="0"/>
        <w:pageBreakBefore w:val="0"/>
        <w:widowControl w:val="0"/>
        <w:kinsoku/>
        <w:overflowPunct/>
        <w:topLinePunct w:val="0"/>
        <w:bidi w:val="0"/>
        <w:rPr>
          <w:b/>
          <w:bCs/>
        </w:rPr>
      </w:pPr>
      <w:r>
        <w:rPr>
          <w:rFonts w:hint="eastAsia"/>
          <w:b/>
          <w:bCs/>
        </w:rPr>
        <w:t>四、评标程序</w:t>
      </w:r>
    </w:p>
    <w:p>
      <w:pPr>
        <w:keepNext w:val="0"/>
        <w:keepLines w:val="0"/>
        <w:pageBreakBefore w:val="0"/>
        <w:widowControl w:val="0"/>
        <w:kinsoku/>
        <w:overflowPunct/>
        <w:topLinePunct w:val="0"/>
        <w:bidi w:val="0"/>
        <w:jc w:val="left"/>
        <w:rPr>
          <w:rFonts w:ascii="宋体" w:hAnsi="宋体" w:cs="Arial"/>
          <w:color w:val="000000"/>
          <w:kern w:val="0"/>
          <w:szCs w:val="21"/>
        </w:rPr>
      </w:pPr>
      <w:r>
        <w:rPr>
          <w:rFonts w:hint="eastAsia" w:ascii="宋体" w:hAnsi="宋体" w:cs="Arial"/>
          <w:color w:val="000000"/>
          <w:kern w:val="0"/>
          <w:szCs w:val="21"/>
        </w:rPr>
        <w:t>1.招标办工作人员介绍项目及报名供应商情况，当众拆封投标响应文件。</w:t>
      </w:r>
    </w:p>
    <w:p>
      <w:pPr>
        <w:keepNext w:val="0"/>
        <w:keepLines w:val="0"/>
        <w:pageBreakBefore w:val="0"/>
        <w:widowControl w:val="0"/>
        <w:kinsoku/>
        <w:overflowPunct/>
        <w:topLinePunct w:val="0"/>
        <w:bidi w:val="0"/>
        <w:jc w:val="left"/>
        <w:rPr>
          <w:rFonts w:ascii="宋体" w:hAnsi="宋体" w:cs="Arial"/>
          <w:color w:val="000000"/>
          <w:kern w:val="0"/>
          <w:szCs w:val="21"/>
        </w:rPr>
      </w:pPr>
      <w:r>
        <w:rPr>
          <w:rFonts w:hint="eastAsia" w:ascii="宋体" w:hAnsi="宋体" w:cs="Arial"/>
          <w:color w:val="000000"/>
          <w:kern w:val="0"/>
          <w:szCs w:val="21"/>
        </w:rPr>
        <w:t>2.评审小组按照资格性和符合性审查表审核投标响应文件，确定通过资格评审的投标文件。</w:t>
      </w:r>
    </w:p>
    <w:p>
      <w:pPr>
        <w:keepNext w:val="0"/>
        <w:keepLines w:val="0"/>
        <w:pageBreakBefore w:val="0"/>
        <w:widowControl w:val="0"/>
        <w:kinsoku/>
        <w:overflowPunct/>
        <w:topLinePunct w:val="0"/>
        <w:bidi w:val="0"/>
        <w:jc w:val="left"/>
        <w:rPr>
          <w:rFonts w:ascii="宋体" w:hAnsi="宋体" w:cs="Arial"/>
          <w:b/>
          <w:bCs/>
          <w:color w:val="FF0000"/>
          <w:kern w:val="0"/>
          <w:szCs w:val="21"/>
        </w:rPr>
      </w:pPr>
      <w:r>
        <w:rPr>
          <w:rFonts w:hint="eastAsia" w:ascii="宋体" w:hAnsi="宋体" w:cs="Arial"/>
          <w:color w:val="000000"/>
          <w:kern w:val="0"/>
          <w:szCs w:val="21"/>
        </w:rPr>
        <w:t>3.通过资格评审的投标文件，评审小组按标项进行综合评分（总分100分）</w:t>
      </w:r>
      <w:r>
        <w:rPr>
          <w:rFonts w:hint="eastAsia" w:ascii="宋体" w:hAnsi="宋体" w:cs="Arial"/>
          <w:b/>
          <w:bCs/>
          <w:color w:val="FF0000"/>
          <w:kern w:val="0"/>
          <w:szCs w:val="21"/>
        </w:rPr>
        <w:t>（评审标准参照下表）。</w:t>
      </w:r>
    </w:p>
    <w:p>
      <w:pPr>
        <w:keepNext w:val="0"/>
        <w:keepLines w:val="0"/>
        <w:pageBreakBefore w:val="0"/>
        <w:widowControl w:val="0"/>
        <w:kinsoku/>
        <w:overflowPunct/>
        <w:topLinePunct w:val="0"/>
        <w:bidi w:val="0"/>
        <w:jc w:val="left"/>
        <w:rPr>
          <w:rFonts w:ascii="宋体" w:hAnsi="宋体" w:cs="Arial"/>
          <w:color w:val="000000"/>
          <w:kern w:val="0"/>
          <w:szCs w:val="21"/>
        </w:rPr>
      </w:pPr>
      <w:r>
        <w:rPr>
          <w:rFonts w:hint="eastAsia" w:ascii="宋体" w:hAnsi="宋体" w:cs="Arial"/>
          <w:color w:val="000000"/>
          <w:kern w:val="0"/>
          <w:szCs w:val="21"/>
        </w:rPr>
        <w:t>4.招标办工作人员汇总评审专家评分表，按技术分、商务分与价格分相加综合得分第一名的投标人列为第一中标候选人，综合得分第二名的投标人为第二中标候选人，以此类推。</w:t>
      </w:r>
    </w:p>
    <w:p>
      <w:pPr>
        <w:keepNext w:val="0"/>
        <w:keepLines w:val="0"/>
        <w:pageBreakBefore w:val="0"/>
        <w:widowControl w:val="0"/>
        <w:kinsoku/>
        <w:overflowPunct/>
        <w:topLinePunct w:val="0"/>
        <w:bidi w:val="0"/>
        <w:rPr>
          <w:rFonts w:ascii="宋体" w:hAnsi="宋体" w:cs="Arial"/>
          <w:color w:val="000000"/>
          <w:kern w:val="0"/>
          <w:szCs w:val="21"/>
        </w:rPr>
      </w:pPr>
      <w:r>
        <w:rPr>
          <w:rFonts w:hint="eastAsia" w:ascii="宋体" w:hAnsi="宋体" w:cs="Arial"/>
          <w:color w:val="000000"/>
          <w:kern w:val="0"/>
          <w:szCs w:val="21"/>
        </w:rPr>
        <w:t>5.在医院监察部门监督下，评审小组组长公布第一中标候选人名单。</w:t>
      </w:r>
    </w:p>
    <w:p>
      <w:pPr>
        <w:keepNext w:val="0"/>
        <w:keepLines w:val="0"/>
        <w:pageBreakBefore w:val="0"/>
        <w:widowControl w:val="0"/>
        <w:kinsoku/>
        <w:overflowPunct/>
        <w:topLinePunct w:val="0"/>
        <w:bidi w:val="0"/>
        <w:rPr>
          <w:b/>
          <w:bCs/>
        </w:rPr>
      </w:pPr>
      <w:r>
        <w:rPr>
          <w:rFonts w:hint="eastAsia"/>
          <w:b/>
          <w:bCs/>
        </w:rPr>
        <w:t>五、中标通知</w:t>
      </w:r>
    </w:p>
    <w:p>
      <w:pPr>
        <w:keepNext w:val="0"/>
        <w:keepLines w:val="0"/>
        <w:pageBreakBefore w:val="0"/>
        <w:widowControl w:val="0"/>
        <w:kinsoku/>
        <w:overflowPunct/>
        <w:topLinePunct w:val="0"/>
        <w:bidi w:val="0"/>
        <w:jc w:val="left"/>
        <w:rPr>
          <w:rFonts w:ascii="宋体" w:hAnsi="宋体" w:cs="Arial"/>
          <w:color w:val="000000"/>
          <w:kern w:val="0"/>
          <w:szCs w:val="21"/>
        </w:rPr>
      </w:pPr>
      <w:r>
        <w:rPr>
          <w:rFonts w:hint="eastAsia" w:ascii="宋体" w:hAnsi="宋体" w:cs="Arial"/>
          <w:color w:val="000000"/>
          <w:kern w:val="0"/>
          <w:szCs w:val="21"/>
        </w:rPr>
        <w:t>（一）评审结束后，采购方在深圳市</w:t>
      </w:r>
      <w:r>
        <w:rPr>
          <w:rFonts w:hint="eastAsia" w:ascii="宋体" w:hAnsi="宋体" w:cs="Arial"/>
          <w:color w:val="000000"/>
          <w:kern w:val="0"/>
          <w:szCs w:val="21"/>
          <w:lang w:eastAsia="zh-CN"/>
        </w:rPr>
        <w:t>宝安区妇幼保健院</w:t>
      </w:r>
      <w:r>
        <w:rPr>
          <w:rFonts w:hint="eastAsia" w:ascii="宋体" w:hAnsi="宋体" w:cs="Arial"/>
          <w:color w:val="000000"/>
          <w:kern w:val="0"/>
          <w:szCs w:val="21"/>
        </w:rPr>
        <w:t>官网发布采购结果公示，公示期满，如无质疑，签发《中标通知书》。</w:t>
      </w:r>
    </w:p>
    <w:p>
      <w:pPr>
        <w:keepNext w:val="0"/>
        <w:keepLines w:val="0"/>
        <w:pageBreakBefore w:val="0"/>
        <w:widowControl w:val="0"/>
        <w:kinsoku/>
        <w:overflowPunct/>
        <w:topLinePunct w:val="0"/>
        <w:bidi w:val="0"/>
        <w:jc w:val="left"/>
        <w:rPr>
          <w:rFonts w:ascii="宋体" w:hAnsi="宋体" w:cs="Arial"/>
          <w:color w:val="000000"/>
          <w:kern w:val="0"/>
          <w:szCs w:val="21"/>
        </w:rPr>
      </w:pPr>
      <w:r>
        <w:rPr>
          <w:rFonts w:hint="eastAsia" w:ascii="宋体" w:hAnsi="宋体" w:cs="Arial"/>
          <w:color w:val="000000"/>
          <w:kern w:val="0"/>
          <w:szCs w:val="21"/>
        </w:rPr>
        <w:t>（二）中标通知书发出后，若中标谈判响应方放弃中标，应当承担相应的法律责任。中标通知书对采购人和中标投标人具有同等法律效力。</w:t>
      </w:r>
    </w:p>
    <w:p>
      <w:pPr>
        <w:keepNext w:val="0"/>
        <w:keepLines w:val="0"/>
        <w:pageBreakBefore w:val="0"/>
        <w:widowControl w:val="0"/>
        <w:kinsoku/>
        <w:overflowPunct/>
        <w:topLinePunct w:val="0"/>
        <w:bidi w:val="0"/>
        <w:jc w:val="left"/>
        <w:sectPr>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pPr>
      <w:r>
        <w:t>（三）采购结果公示期满后，中标公司领取中标通知书，凭中标通知书10个工作日内到归口管理部门商洽签订合同</w:t>
      </w:r>
      <w:r>
        <w:rPr>
          <w:rFonts w:hint="eastAsia"/>
        </w:rPr>
        <w:t>。</w:t>
      </w:r>
    </w:p>
    <w:p>
      <w:pPr>
        <w:keepNext w:val="0"/>
        <w:keepLines w:val="0"/>
        <w:pageBreakBefore w:val="0"/>
        <w:widowControl w:val="0"/>
        <w:kinsoku/>
        <w:overflowPunct/>
        <w:topLinePunct w:val="0"/>
        <w:bidi w:val="0"/>
        <w:jc w:val="center"/>
      </w:pPr>
      <w:r>
        <w:rPr>
          <w:rFonts w:hint="eastAsia" w:ascii="黑体" w:hAnsi="黑体" w:eastAsia="黑体" w:cs="黑体"/>
          <w:sz w:val="30"/>
          <w:szCs w:val="30"/>
        </w:rPr>
        <w:t>综合评分表（对照下表，编制本项目评标指引表）</w:t>
      </w:r>
    </w:p>
    <w:tbl>
      <w:tblPr>
        <w:tblStyle w:val="28"/>
        <w:tblW w:w="106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6"/>
        <w:gridCol w:w="759"/>
        <w:gridCol w:w="517"/>
        <w:gridCol w:w="87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16" w:type="dxa"/>
            <w:tcBorders>
              <w:tl2br w:val="nil"/>
              <w:tr2bl w:val="nil"/>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类别</w:t>
            </w:r>
          </w:p>
        </w:tc>
        <w:tc>
          <w:tcPr>
            <w:tcW w:w="759" w:type="dxa"/>
            <w:tcBorders>
              <w:tl2br w:val="nil"/>
              <w:tr2bl w:val="nil"/>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评分项目</w:t>
            </w:r>
          </w:p>
        </w:tc>
        <w:tc>
          <w:tcPr>
            <w:tcW w:w="517" w:type="dxa"/>
            <w:tcBorders>
              <w:tl2br w:val="nil"/>
              <w:tr2bl w:val="nil"/>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分值</w:t>
            </w:r>
          </w:p>
        </w:tc>
        <w:tc>
          <w:tcPr>
            <w:tcW w:w="8767" w:type="dxa"/>
            <w:tcBorders>
              <w:tl2br w:val="nil"/>
              <w:tr2bl w:val="nil"/>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评分参考及范围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616" w:type="dxa"/>
            <w:vMerge w:val="restart"/>
            <w:tcBorders>
              <w:tl2br w:val="nil"/>
              <w:tr2bl w:val="nil"/>
            </w:tcBorders>
            <w:textDirection w:val="tbLrV"/>
            <w:vAlign w:val="center"/>
          </w:tcPr>
          <w:p>
            <w:pPr>
              <w:keepNext w:val="0"/>
              <w:keepLines w:val="0"/>
              <w:pageBreakBefore w:val="0"/>
              <w:widowControl w:val="0"/>
              <w:kinsoku/>
              <w:wordWrap/>
              <w:overflowPunct/>
              <w:topLinePunct w:val="0"/>
              <w:bidi w:val="0"/>
              <w:spacing w:line="240" w:lineRule="auto"/>
              <w:ind w:left="113" w:right="113"/>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技术部分（A）（</w:t>
            </w:r>
            <w:r>
              <w:rPr>
                <w:rFonts w:hint="eastAsia" w:ascii="宋体" w:hAnsi="宋体" w:cs="宋体"/>
                <w:b/>
                <w:bCs/>
                <w:sz w:val="21"/>
                <w:szCs w:val="21"/>
                <w:highlight w:val="none"/>
                <w:lang w:val="en-US" w:eastAsia="zh-CN"/>
              </w:rPr>
              <w:t>60</w:t>
            </w:r>
            <w:r>
              <w:rPr>
                <w:rFonts w:hint="eastAsia" w:ascii="宋体" w:hAnsi="宋体" w:eastAsia="宋体" w:cs="宋体"/>
                <w:b/>
                <w:bCs/>
                <w:sz w:val="21"/>
                <w:szCs w:val="21"/>
                <w:highlight w:val="none"/>
              </w:rPr>
              <w:t>分）</w:t>
            </w:r>
          </w:p>
        </w:tc>
        <w:tc>
          <w:tcPr>
            <w:tcW w:w="759" w:type="dxa"/>
            <w:tcBorders>
              <w:tl2br w:val="nil"/>
              <w:tr2bl w:val="nil"/>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技术响应情况</w:t>
            </w:r>
          </w:p>
        </w:tc>
        <w:tc>
          <w:tcPr>
            <w:tcW w:w="517" w:type="dxa"/>
            <w:tcBorders>
              <w:tl2br w:val="nil"/>
              <w:tr2bl w:val="nil"/>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54</w:t>
            </w:r>
          </w:p>
        </w:tc>
        <w:tc>
          <w:tcPr>
            <w:tcW w:w="8767" w:type="dxa"/>
            <w:tcBorders>
              <w:tl2br w:val="nil"/>
              <w:tr2bl w:val="nil"/>
            </w:tcBorders>
            <w:vAlign w:val="center"/>
          </w:tcPr>
          <w:p>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投标人如实填写《参数偏离表</w:t>
            </w:r>
            <w:r>
              <w:rPr>
                <w:rFonts w:hint="eastAsia" w:ascii="宋体" w:hAnsi="宋体" w:eastAsia="宋体" w:cs="宋体"/>
                <w:sz w:val="21"/>
                <w:szCs w:val="21"/>
                <w:highlight w:val="none"/>
                <w:lang w:val="en-US" w:eastAsia="zh-CN"/>
              </w:rPr>
              <w:t>-技术部分</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评审专家</w:t>
            </w: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eastAsia="zh-CN"/>
              </w:rPr>
              <w:t>技术响应情况进行评分。</w:t>
            </w:r>
          </w:p>
          <w:p>
            <w:pPr>
              <w:keepNext w:val="0"/>
              <w:keepLines w:val="0"/>
              <w:pageBreakBefore w:val="0"/>
              <w:widowControl w:val="0"/>
              <w:numPr>
                <w:ilvl w:val="0"/>
                <w:numId w:val="0"/>
              </w:numPr>
              <w:kinsoku/>
              <w:wordWrap/>
              <w:overflowPunct/>
              <w:topLinePunct w:val="0"/>
              <w:bidi w:val="0"/>
              <w:spacing w:line="240" w:lineRule="auto"/>
              <w:textAlignment w:val="auto"/>
              <w:rPr>
                <w:rFonts w:hint="eastAsia" w:ascii="宋体" w:hAnsi="宋体" w:eastAsia="宋体" w:cs="宋体"/>
                <w:sz w:val="21"/>
                <w:szCs w:val="21"/>
                <w:highlight w:val="none"/>
                <w:lang w:eastAsia="zh-CN"/>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highlight w:val="none"/>
                <w:lang w:eastAsia="zh-CN"/>
              </w:rPr>
              <w:t>各项技术参数指标及要求全部满足的得</w:t>
            </w:r>
            <w:r>
              <w:rPr>
                <w:rFonts w:hint="eastAsia" w:ascii="宋体" w:hAnsi="宋体" w:cs="宋体"/>
                <w:sz w:val="21"/>
                <w:szCs w:val="21"/>
                <w:highlight w:val="none"/>
                <w:lang w:val="en-US" w:eastAsia="zh-CN"/>
              </w:rPr>
              <w:t>54</w:t>
            </w:r>
            <w:r>
              <w:rPr>
                <w:rFonts w:hint="eastAsia" w:ascii="宋体" w:hAnsi="宋体" w:eastAsia="宋体" w:cs="宋体"/>
                <w:sz w:val="21"/>
                <w:szCs w:val="21"/>
                <w:highlight w:val="none"/>
                <w:lang w:eastAsia="zh-CN"/>
              </w:rPr>
              <w:t>分；</w:t>
            </w:r>
          </w:p>
          <w:p>
            <w:pPr>
              <w:keepNext w:val="0"/>
              <w:keepLines w:val="0"/>
              <w:pageBreakBefore w:val="0"/>
              <w:widowControl w:val="0"/>
              <w:numPr>
                <w:ilvl w:val="0"/>
                <w:numId w:val="0"/>
              </w:numPr>
              <w:kinsoku/>
              <w:wordWrap/>
              <w:overflowPunct/>
              <w:topLinePunct w:val="0"/>
              <w:bidi w:val="0"/>
              <w:spacing w:line="240" w:lineRule="auto"/>
              <w:textAlignment w:val="auto"/>
              <w:rPr>
                <w:rFonts w:hint="eastAsia" w:ascii="宋体" w:hAnsi="宋体" w:eastAsia="宋体" w:cs="宋体"/>
                <w:sz w:val="21"/>
                <w:szCs w:val="21"/>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sz w:val="21"/>
                <w:szCs w:val="21"/>
                <w:highlight w:val="none"/>
                <w:lang w:eastAsia="zh-CN"/>
              </w:rPr>
              <w:t>一般技术参数每负偏离一项扣</w:t>
            </w: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eastAsia="zh-CN"/>
              </w:rPr>
              <w:t>分，扣完即止；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77" w:hRule="atLeast"/>
        </w:trPr>
        <w:tc>
          <w:tcPr>
            <w:tcW w:w="616" w:type="dxa"/>
            <w:vMerge w:val="continue"/>
            <w:tcBorders>
              <w:tl2br w:val="nil"/>
              <w:tr2bl w:val="nil"/>
            </w:tcBorders>
            <w:textDirection w:val="tbLrV"/>
            <w:vAlign w:val="center"/>
          </w:tcPr>
          <w:p>
            <w:pPr>
              <w:keepNext w:val="0"/>
              <w:keepLines w:val="0"/>
              <w:pageBreakBefore w:val="0"/>
              <w:widowControl w:val="0"/>
              <w:kinsoku/>
              <w:wordWrap/>
              <w:overflowPunct/>
              <w:topLinePunct w:val="0"/>
              <w:bidi w:val="0"/>
              <w:spacing w:line="240" w:lineRule="auto"/>
              <w:ind w:left="113" w:right="113"/>
              <w:jc w:val="center"/>
              <w:textAlignment w:val="auto"/>
              <w:rPr>
                <w:rFonts w:hint="eastAsia" w:ascii="宋体" w:hAnsi="宋体" w:eastAsia="宋体" w:cs="宋体"/>
                <w:b/>
                <w:bCs/>
                <w:sz w:val="21"/>
                <w:szCs w:val="21"/>
                <w:highlight w:val="none"/>
              </w:rPr>
            </w:pPr>
          </w:p>
        </w:tc>
        <w:tc>
          <w:tcPr>
            <w:tcW w:w="759" w:type="dxa"/>
            <w:tcBorders>
              <w:tl2br w:val="nil"/>
              <w:tr2bl w:val="nil"/>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项目</w:t>
            </w:r>
            <w:r>
              <w:rPr>
                <w:rFonts w:hint="eastAsia" w:ascii="宋体" w:hAnsi="宋体" w:eastAsia="宋体" w:cs="宋体"/>
                <w:b w:val="0"/>
                <w:bCs w:val="0"/>
                <w:sz w:val="21"/>
                <w:szCs w:val="21"/>
                <w:highlight w:val="none"/>
                <w:lang w:val="en-US" w:eastAsia="zh-CN"/>
              </w:rPr>
              <w:t>实施及</w:t>
            </w:r>
            <w:r>
              <w:rPr>
                <w:rFonts w:hint="eastAsia" w:ascii="宋体" w:hAnsi="宋体" w:eastAsia="宋体" w:cs="宋体"/>
                <w:b w:val="0"/>
                <w:bCs w:val="0"/>
                <w:sz w:val="21"/>
                <w:szCs w:val="21"/>
                <w:highlight w:val="none"/>
                <w:lang w:eastAsia="zh-CN"/>
              </w:rPr>
              <w:t>保障方案</w:t>
            </w:r>
          </w:p>
        </w:tc>
        <w:tc>
          <w:tcPr>
            <w:tcW w:w="517" w:type="dxa"/>
            <w:tcBorders>
              <w:tl2br w:val="nil"/>
              <w:tr2bl w:val="nil"/>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6</w:t>
            </w:r>
          </w:p>
        </w:tc>
        <w:tc>
          <w:tcPr>
            <w:tcW w:w="8767" w:type="dxa"/>
            <w:tcBorders>
              <w:tl2br w:val="nil"/>
              <w:tr2bl w:val="nil"/>
            </w:tcBorders>
            <w:vAlign w:val="center"/>
          </w:tcPr>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 xml:space="preserve">（一）评审内容： </w:t>
            </w:r>
          </w:p>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考察投标人所提供</w:t>
            </w:r>
            <w:r>
              <w:rPr>
                <w:rFonts w:hint="eastAsia" w:ascii="宋体" w:hAnsi="宋体" w:eastAsia="宋体" w:cs="宋体"/>
                <w:sz w:val="21"/>
                <w:szCs w:val="21"/>
                <w:highlight w:val="none"/>
              </w:rPr>
              <w:t>项目实施</w:t>
            </w:r>
            <w:r>
              <w:rPr>
                <w:rFonts w:hint="eastAsia" w:ascii="宋体" w:hAnsi="宋体" w:eastAsia="宋体" w:cs="宋体"/>
                <w:b w:val="0"/>
                <w:bCs w:val="0"/>
                <w:sz w:val="21"/>
                <w:szCs w:val="21"/>
                <w:highlight w:val="none"/>
                <w:lang w:val="en-US" w:eastAsia="zh-CN"/>
              </w:rPr>
              <w:t>及</w:t>
            </w:r>
            <w:r>
              <w:rPr>
                <w:rFonts w:hint="eastAsia" w:ascii="宋体" w:hAnsi="宋体" w:eastAsia="宋体" w:cs="宋体"/>
                <w:b w:val="0"/>
                <w:bCs w:val="0"/>
                <w:sz w:val="21"/>
                <w:szCs w:val="21"/>
                <w:highlight w:val="none"/>
                <w:lang w:eastAsia="zh-CN"/>
              </w:rPr>
              <w:t>保障方案</w:t>
            </w:r>
            <w:r>
              <w:rPr>
                <w:rFonts w:hint="eastAsia"/>
                <w:color w:val="000000"/>
                <w:szCs w:val="21"/>
                <w:lang w:eastAsia="zh-CN"/>
              </w:rPr>
              <w:t>。</w:t>
            </w:r>
            <w:r>
              <w:rPr>
                <w:rFonts w:hint="eastAsia" w:ascii="宋体" w:hAnsi="宋体" w:eastAsia="宋体" w:cs="宋体"/>
                <w:b w:val="0"/>
                <w:bCs w:val="0"/>
                <w:highlight w:val="none"/>
              </w:rPr>
              <w:t xml:space="preserve"> </w:t>
            </w:r>
          </w:p>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1、</w:t>
            </w:r>
            <w:r>
              <w:rPr>
                <w:rFonts w:hint="eastAsia" w:ascii="宋体" w:hAnsi="宋体" w:eastAsia="宋体" w:cs="宋体"/>
                <w:sz w:val="21"/>
                <w:szCs w:val="21"/>
                <w:highlight w:val="none"/>
              </w:rPr>
              <w:t>项目实施</w:t>
            </w:r>
            <w:r>
              <w:rPr>
                <w:color w:val="000000"/>
                <w:szCs w:val="21"/>
              </w:rPr>
              <w:t>方案</w:t>
            </w:r>
            <w:r>
              <w:rPr>
                <w:rFonts w:hint="eastAsia"/>
                <w:color w:val="000000"/>
                <w:szCs w:val="21"/>
                <w:lang w:eastAsia="zh-CN"/>
              </w:rPr>
              <w:t>：</w:t>
            </w:r>
            <w:r>
              <w:rPr>
                <w:rFonts w:hint="eastAsia" w:ascii="宋体" w:hAnsi="宋体" w:eastAsia="宋体" w:cs="宋体"/>
                <w:sz w:val="21"/>
                <w:szCs w:val="21"/>
                <w:highlight w:val="none"/>
              </w:rPr>
              <w:t>包括但不限于项目组织管理、项目实施进度安排、项目质量管理</w:t>
            </w:r>
            <w:r>
              <w:rPr>
                <w:rFonts w:hint="eastAsia" w:ascii="宋体" w:hAnsi="宋体" w:eastAsia="宋体" w:cs="宋体"/>
                <w:sz w:val="21"/>
                <w:szCs w:val="21"/>
                <w:highlight w:val="none"/>
                <w:lang w:eastAsia="zh-CN"/>
              </w:rPr>
              <w:t>、售后服务承诺</w:t>
            </w:r>
            <w:r>
              <w:rPr>
                <w:rFonts w:hint="eastAsia" w:ascii="宋体" w:hAnsi="宋体" w:eastAsia="宋体" w:cs="宋体"/>
                <w:sz w:val="21"/>
                <w:szCs w:val="21"/>
                <w:highlight w:val="none"/>
              </w:rPr>
              <w:t>等</w:t>
            </w:r>
            <w:r>
              <w:rPr>
                <w:rFonts w:hint="eastAsia" w:ascii="宋体" w:hAnsi="宋体" w:eastAsia="宋体" w:cs="宋体"/>
                <w:b w:val="0"/>
                <w:bCs w:val="0"/>
                <w:highlight w:val="none"/>
              </w:rPr>
              <w:t xml:space="preserve">； </w:t>
            </w:r>
          </w:p>
          <w:p>
            <w:pPr>
              <w:widowControl/>
              <w:spacing w:line="320" w:lineRule="atLeast"/>
              <w:jc w:val="left"/>
              <w:rPr>
                <w:rFonts w:hint="eastAsia" w:ascii="宋体" w:hAnsi="宋体" w:eastAsia="宋体" w:cs="宋体"/>
                <w:b w:val="0"/>
                <w:bCs w:val="0"/>
                <w:highlight w:val="none"/>
                <w:lang w:eastAsia="zh-CN"/>
              </w:rPr>
            </w:pPr>
            <w:r>
              <w:rPr>
                <w:rFonts w:hint="eastAsia" w:ascii="宋体" w:hAnsi="宋体" w:eastAsia="宋体" w:cs="宋体"/>
                <w:b w:val="0"/>
                <w:bCs w:val="0"/>
                <w:highlight w:val="none"/>
              </w:rPr>
              <w:t>2、</w:t>
            </w:r>
            <w:r>
              <w:rPr>
                <w:rFonts w:hint="eastAsia" w:ascii="宋体" w:hAnsi="宋体" w:eastAsia="宋体" w:cs="宋体"/>
                <w:b w:val="0"/>
                <w:bCs w:val="0"/>
                <w:sz w:val="21"/>
                <w:szCs w:val="21"/>
                <w:highlight w:val="none"/>
                <w:lang w:eastAsia="zh-CN"/>
              </w:rPr>
              <w:t>项目保障方案</w:t>
            </w:r>
            <w:r>
              <w:rPr>
                <w:rFonts w:hint="eastAsia"/>
                <w:color w:val="000000"/>
                <w:szCs w:val="21"/>
                <w:lang w:eastAsia="zh-CN"/>
              </w:rPr>
              <w:t>。</w:t>
            </w:r>
          </w:p>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 xml:space="preserve">（二）评分标准： </w:t>
            </w:r>
          </w:p>
          <w:p>
            <w:pPr>
              <w:widowControl/>
              <w:spacing w:line="320" w:lineRule="atLeast"/>
              <w:ind w:firstLine="420" w:firstLineChars="200"/>
              <w:jc w:val="left"/>
              <w:rPr>
                <w:rFonts w:hint="eastAsia" w:ascii="宋体" w:hAnsi="宋体" w:cs="宋体"/>
                <w:b w:val="0"/>
                <w:bCs w:val="0"/>
                <w:highlight w:val="none"/>
                <w:lang w:eastAsia="zh-CN"/>
              </w:rPr>
            </w:pPr>
            <w:r>
              <w:rPr>
                <w:rFonts w:hint="eastAsia" w:ascii="宋体" w:hAnsi="宋体" w:cs="宋体"/>
                <w:b w:val="0"/>
                <w:bCs w:val="0"/>
                <w:highlight w:val="none"/>
                <w:lang w:val="en-US" w:eastAsia="zh-CN"/>
              </w:rPr>
              <w:t>1、</w:t>
            </w:r>
            <w:r>
              <w:rPr>
                <w:rFonts w:hint="eastAsia" w:ascii="宋体" w:hAnsi="宋体" w:eastAsia="宋体" w:cs="宋体"/>
                <w:b w:val="0"/>
                <w:bCs w:val="0"/>
                <w:highlight w:val="none"/>
              </w:rPr>
              <w:t>投标方提供的《</w:t>
            </w:r>
            <w:r>
              <w:rPr>
                <w:rFonts w:hint="eastAsia" w:ascii="宋体" w:hAnsi="宋体" w:eastAsia="宋体" w:cs="宋体"/>
                <w:b w:val="0"/>
                <w:bCs w:val="0"/>
                <w:sz w:val="21"/>
                <w:szCs w:val="21"/>
                <w:highlight w:val="none"/>
                <w:lang w:eastAsia="zh-CN"/>
              </w:rPr>
              <w:t>项目</w:t>
            </w:r>
            <w:r>
              <w:rPr>
                <w:rFonts w:hint="eastAsia" w:ascii="宋体" w:hAnsi="宋体" w:eastAsia="宋体" w:cs="宋体"/>
                <w:b w:val="0"/>
                <w:bCs w:val="0"/>
                <w:sz w:val="21"/>
                <w:szCs w:val="21"/>
                <w:highlight w:val="none"/>
                <w:lang w:val="en-US" w:eastAsia="zh-CN"/>
              </w:rPr>
              <w:t>实施及</w:t>
            </w:r>
            <w:r>
              <w:rPr>
                <w:rFonts w:hint="eastAsia" w:ascii="宋体" w:hAnsi="宋体" w:eastAsia="宋体" w:cs="宋体"/>
                <w:b w:val="0"/>
                <w:bCs w:val="0"/>
                <w:sz w:val="21"/>
                <w:szCs w:val="21"/>
                <w:highlight w:val="none"/>
                <w:lang w:eastAsia="zh-CN"/>
              </w:rPr>
              <w:t>保障方案</w:t>
            </w:r>
            <w:r>
              <w:rPr>
                <w:rFonts w:hint="eastAsia" w:ascii="宋体" w:hAnsi="宋体" w:eastAsia="宋体" w:cs="宋体"/>
                <w:b w:val="0"/>
                <w:bCs w:val="0"/>
                <w:highlight w:val="none"/>
              </w:rPr>
              <w:t>》包含上述</w:t>
            </w:r>
            <w:r>
              <w:rPr>
                <w:rFonts w:hint="eastAsia" w:ascii="宋体" w:hAnsi="宋体" w:eastAsia="宋体" w:cs="宋体"/>
                <w:b w:val="0"/>
                <w:bCs w:val="0"/>
                <w:highlight w:val="none"/>
                <w:lang w:val="en-US" w:eastAsia="zh-CN"/>
              </w:rPr>
              <w:t>2</w:t>
            </w:r>
            <w:r>
              <w:rPr>
                <w:rFonts w:hint="eastAsia" w:ascii="宋体" w:hAnsi="宋体" w:eastAsia="宋体" w:cs="宋体"/>
                <w:b w:val="0"/>
                <w:bCs w:val="0"/>
                <w:highlight w:val="none"/>
              </w:rPr>
              <w:t>项考察内容的，得</w:t>
            </w:r>
            <w:r>
              <w:rPr>
                <w:rFonts w:hint="eastAsia" w:ascii="宋体" w:hAnsi="宋体" w:cs="宋体"/>
                <w:b w:val="0"/>
                <w:bCs w:val="0"/>
                <w:highlight w:val="none"/>
                <w:lang w:val="en-US" w:eastAsia="zh-CN"/>
              </w:rPr>
              <w:t>3</w:t>
            </w:r>
            <w:r>
              <w:rPr>
                <w:rFonts w:hint="eastAsia" w:ascii="宋体" w:hAnsi="宋体" w:eastAsia="宋体" w:cs="宋体"/>
                <w:b w:val="0"/>
                <w:bCs w:val="0"/>
                <w:highlight w:val="none"/>
              </w:rPr>
              <w:t>分；缺少一项扣</w:t>
            </w:r>
            <w:r>
              <w:rPr>
                <w:rFonts w:hint="eastAsia" w:ascii="宋体" w:hAnsi="宋体" w:cs="宋体"/>
                <w:b w:val="0"/>
                <w:bCs w:val="0"/>
                <w:highlight w:val="none"/>
                <w:lang w:val="en-US" w:eastAsia="zh-CN"/>
              </w:rPr>
              <w:t>1.5</w:t>
            </w:r>
            <w:r>
              <w:rPr>
                <w:rFonts w:hint="eastAsia" w:ascii="宋体" w:hAnsi="宋体" w:eastAsia="宋体" w:cs="宋体"/>
                <w:b w:val="0"/>
                <w:bCs w:val="0"/>
                <w:highlight w:val="none"/>
              </w:rPr>
              <w:t>分，无《</w:t>
            </w:r>
            <w:r>
              <w:rPr>
                <w:rFonts w:hint="eastAsia" w:ascii="宋体" w:hAnsi="宋体" w:eastAsia="宋体" w:cs="宋体"/>
                <w:b w:val="0"/>
                <w:bCs w:val="0"/>
                <w:sz w:val="21"/>
                <w:szCs w:val="21"/>
                <w:highlight w:val="none"/>
                <w:lang w:eastAsia="zh-CN"/>
              </w:rPr>
              <w:t>项目</w:t>
            </w:r>
            <w:r>
              <w:rPr>
                <w:rFonts w:hint="eastAsia" w:ascii="宋体" w:hAnsi="宋体" w:eastAsia="宋体" w:cs="宋体"/>
                <w:b w:val="0"/>
                <w:bCs w:val="0"/>
                <w:sz w:val="21"/>
                <w:szCs w:val="21"/>
                <w:highlight w:val="none"/>
                <w:lang w:val="en-US" w:eastAsia="zh-CN"/>
              </w:rPr>
              <w:t>实施及</w:t>
            </w:r>
            <w:r>
              <w:rPr>
                <w:rFonts w:hint="eastAsia" w:ascii="宋体" w:hAnsi="宋体" w:eastAsia="宋体" w:cs="宋体"/>
                <w:b w:val="0"/>
                <w:bCs w:val="0"/>
                <w:sz w:val="21"/>
                <w:szCs w:val="21"/>
                <w:highlight w:val="none"/>
                <w:lang w:eastAsia="zh-CN"/>
              </w:rPr>
              <w:t>保障方案</w:t>
            </w:r>
            <w:r>
              <w:rPr>
                <w:rFonts w:hint="eastAsia" w:ascii="宋体" w:hAnsi="宋体" w:eastAsia="宋体" w:cs="宋体"/>
                <w:b w:val="0"/>
                <w:bCs w:val="0"/>
                <w:highlight w:val="none"/>
              </w:rPr>
              <w:t xml:space="preserve">》本项不得分 </w:t>
            </w:r>
            <w:r>
              <w:rPr>
                <w:rFonts w:hint="eastAsia" w:ascii="宋体" w:hAnsi="宋体" w:cs="宋体"/>
                <w:b w:val="0"/>
                <w:bCs w:val="0"/>
                <w:highlight w:val="none"/>
                <w:lang w:eastAsia="zh-CN"/>
              </w:rPr>
              <w:t>。</w:t>
            </w:r>
          </w:p>
          <w:p>
            <w:pPr>
              <w:pStyle w:val="2"/>
              <w:ind w:left="0" w:leftChars="0" w:firstLine="420" w:firstLineChars="200"/>
              <w:rPr>
                <w:rFonts w:hint="eastAsia" w:ascii="宋体" w:hAnsi="宋体" w:eastAsia="宋体" w:cs="宋体"/>
                <w:b w:val="0"/>
                <w:bCs w:val="0"/>
                <w:kern w:val="2"/>
                <w:sz w:val="21"/>
                <w:szCs w:val="24"/>
                <w:highlight w:val="none"/>
                <w:lang w:val="en-US" w:eastAsia="zh-CN" w:bidi="ar-SA"/>
              </w:rPr>
            </w:pPr>
            <w:r>
              <w:rPr>
                <w:rFonts w:hint="eastAsia" w:ascii="宋体" w:hAnsi="宋体" w:eastAsia="宋体" w:cs="宋体"/>
                <w:b w:val="0"/>
                <w:bCs w:val="0"/>
                <w:kern w:val="2"/>
                <w:sz w:val="21"/>
                <w:szCs w:val="24"/>
                <w:highlight w:val="none"/>
                <w:lang w:val="en-US" w:eastAsia="zh-CN" w:bidi="ar-SA"/>
              </w:rPr>
              <w:t>2、在上述基础上，由评审委员会对具体响应内容进一步评审：</w:t>
            </w:r>
          </w:p>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（1）优评审标准：</w:t>
            </w:r>
            <w:r>
              <w:rPr>
                <w:rFonts w:hint="eastAsia" w:ascii="宋体" w:hAnsi="宋体" w:eastAsia="宋体" w:cs="宋体"/>
                <w:sz w:val="21"/>
                <w:szCs w:val="21"/>
                <w:highlight w:val="none"/>
              </w:rPr>
              <w:t>实施方案合理可行</w:t>
            </w:r>
            <w:r>
              <w:rPr>
                <w:rFonts w:hint="eastAsia" w:ascii="宋体" w:hAnsi="宋体" w:eastAsia="宋体" w:cs="宋体"/>
                <w:sz w:val="21"/>
                <w:szCs w:val="21"/>
                <w:highlight w:val="none"/>
                <w:lang w:eastAsia="zh-CN"/>
              </w:rPr>
              <w:t>，</w:t>
            </w:r>
            <w:r>
              <w:rPr>
                <w:color w:val="000000"/>
                <w:szCs w:val="21"/>
              </w:rPr>
              <w:t>针对性及操作性强</w:t>
            </w:r>
            <w:r>
              <w:rPr>
                <w:rFonts w:hint="eastAsia" w:ascii="宋体" w:hAnsi="宋体" w:eastAsia="宋体" w:cs="宋体"/>
                <w:b w:val="0"/>
                <w:bCs w:val="0"/>
                <w:highlight w:val="none"/>
              </w:rPr>
              <w:t xml:space="preserve">。 </w:t>
            </w:r>
          </w:p>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（2）良评审标准：</w:t>
            </w:r>
            <w:r>
              <w:rPr>
                <w:rFonts w:hint="eastAsia" w:ascii="宋体" w:hAnsi="宋体" w:eastAsia="宋体" w:cs="宋体"/>
                <w:sz w:val="21"/>
                <w:szCs w:val="21"/>
                <w:highlight w:val="none"/>
              </w:rPr>
              <w:t>实施方案基本合理</w:t>
            </w:r>
            <w:r>
              <w:rPr>
                <w:rFonts w:hint="eastAsia" w:ascii="宋体" w:hAnsi="宋体" w:eastAsia="宋体" w:cs="宋体"/>
                <w:sz w:val="21"/>
                <w:szCs w:val="21"/>
                <w:highlight w:val="none"/>
                <w:lang w:eastAsia="zh-CN"/>
              </w:rPr>
              <w:t>，</w:t>
            </w:r>
            <w:r>
              <w:rPr>
                <w:color w:val="000000"/>
                <w:szCs w:val="21"/>
              </w:rPr>
              <w:t>具有较强的针对性及操作性</w:t>
            </w:r>
            <w:r>
              <w:rPr>
                <w:rFonts w:hint="eastAsia" w:ascii="宋体" w:hAnsi="宋体" w:eastAsia="宋体" w:cs="宋体"/>
                <w:b w:val="0"/>
                <w:bCs w:val="0"/>
                <w:highlight w:val="none"/>
              </w:rPr>
              <w:t xml:space="preserve">。 </w:t>
            </w:r>
          </w:p>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（3）中评审标准：</w:t>
            </w:r>
            <w:r>
              <w:rPr>
                <w:rFonts w:hint="eastAsia" w:ascii="宋体" w:hAnsi="宋体" w:eastAsia="宋体" w:cs="宋体"/>
                <w:sz w:val="21"/>
                <w:szCs w:val="21"/>
                <w:highlight w:val="none"/>
              </w:rPr>
              <w:t>实施方案</w:t>
            </w:r>
            <w:r>
              <w:rPr>
                <w:rFonts w:hint="eastAsia" w:ascii="宋体" w:hAnsi="宋体" w:cs="宋体"/>
                <w:sz w:val="21"/>
                <w:szCs w:val="21"/>
                <w:highlight w:val="none"/>
                <w:lang w:eastAsia="zh-CN"/>
              </w:rPr>
              <w:t>较</w:t>
            </w:r>
            <w:r>
              <w:rPr>
                <w:rFonts w:hint="eastAsia" w:ascii="宋体" w:hAnsi="宋体" w:eastAsia="宋体" w:cs="宋体"/>
                <w:sz w:val="21"/>
                <w:szCs w:val="21"/>
                <w:highlight w:val="none"/>
              </w:rPr>
              <w:t>明确</w:t>
            </w:r>
            <w:r>
              <w:rPr>
                <w:rFonts w:hint="eastAsia" w:ascii="宋体" w:hAnsi="宋体" w:eastAsia="宋体" w:cs="宋体"/>
                <w:sz w:val="21"/>
                <w:szCs w:val="21"/>
                <w:highlight w:val="none"/>
                <w:lang w:eastAsia="zh-CN"/>
              </w:rPr>
              <w:t>，</w:t>
            </w:r>
            <w:r>
              <w:rPr>
                <w:rFonts w:hint="eastAsia" w:ascii="宋体" w:hAnsi="宋体" w:eastAsia="宋体" w:cs="宋体"/>
                <w:b w:val="0"/>
                <w:bCs w:val="0"/>
                <w:highlight w:val="none"/>
                <w:lang w:val="en-US" w:eastAsia="zh-CN"/>
              </w:rPr>
              <w:t>具</w:t>
            </w:r>
            <w:r>
              <w:rPr>
                <w:color w:val="000000"/>
                <w:szCs w:val="21"/>
              </w:rPr>
              <w:t>有一定的针对性及操作性</w:t>
            </w:r>
            <w:r>
              <w:rPr>
                <w:rFonts w:hint="eastAsia" w:ascii="宋体" w:hAnsi="宋体" w:eastAsia="宋体" w:cs="宋体"/>
                <w:b w:val="0"/>
                <w:bCs w:val="0"/>
                <w:highlight w:val="none"/>
              </w:rPr>
              <w:t xml:space="preserve">。  </w:t>
            </w:r>
          </w:p>
          <w:p>
            <w:pPr>
              <w:widowControl/>
              <w:spacing w:line="320" w:lineRule="atLeast"/>
              <w:jc w:val="left"/>
              <w:rPr>
                <w:rFonts w:hint="eastAsia" w:ascii="宋体" w:hAnsi="宋体" w:eastAsia="宋体" w:cs="宋体"/>
                <w:sz w:val="21"/>
                <w:szCs w:val="21"/>
                <w:highlight w:val="none"/>
                <w:lang w:eastAsia="zh-CN"/>
              </w:rPr>
            </w:pPr>
            <w:r>
              <w:rPr>
                <w:rFonts w:hint="eastAsia" w:ascii="宋体" w:hAnsi="宋体" w:eastAsia="宋体" w:cs="宋体"/>
                <w:b w:val="0"/>
                <w:bCs w:val="0"/>
                <w:highlight w:val="none"/>
              </w:rPr>
              <w:t>评价为优</w:t>
            </w:r>
            <w:r>
              <w:rPr>
                <w:rFonts w:hint="eastAsia" w:ascii="宋体" w:hAnsi="宋体" w:eastAsia="宋体" w:cs="宋体"/>
                <w:b w:val="0"/>
                <w:bCs w:val="0"/>
                <w:highlight w:val="none"/>
                <w:lang w:val="en-US" w:eastAsia="zh-CN"/>
              </w:rPr>
              <w:t>得</w:t>
            </w:r>
            <w:r>
              <w:rPr>
                <w:rFonts w:hint="eastAsia" w:ascii="宋体" w:hAnsi="宋体" w:eastAsia="宋体" w:cs="宋体"/>
                <w:b w:val="0"/>
                <w:bCs w:val="0"/>
                <w:highlight w:val="none"/>
              </w:rPr>
              <w:t xml:space="preserve"> </w:t>
            </w:r>
            <w:r>
              <w:rPr>
                <w:rFonts w:hint="eastAsia" w:ascii="宋体" w:hAnsi="宋体" w:eastAsia="宋体" w:cs="宋体"/>
                <w:b w:val="0"/>
                <w:bCs w:val="0"/>
                <w:highlight w:val="none"/>
                <w:lang w:val="en-US" w:eastAsia="zh-CN"/>
              </w:rPr>
              <w:t>3</w:t>
            </w:r>
            <w:r>
              <w:rPr>
                <w:rFonts w:hint="eastAsia" w:ascii="宋体" w:hAnsi="宋体" w:eastAsia="宋体" w:cs="宋体"/>
                <w:b w:val="0"/>
                <w:bCs w:val="0"/>
                <w:highlight w:val="none"/>
              </w:rPr>
              <w:t xml:space="preserve"> 分；评价为</w:t>
            </w:r>
            <w:r>
              <w:rPr>
                <w:rFonts w:hint="eastAsia" w:ascii="宋体" w:hAnsi="宋体" w:eastAsia="宋体" w:cs="宋体"/>
                <w:b w:val="0"/>
                <w:bCs w:val="0"/>
                <w:highlight w:val="none"/>
                <w:lang w:val="en-US" w:eastAsia="zh-CN"/>
              </w:rPr>
              <w:t>良</w:t>
            </w:r>
            <w:r>
              <w:rPr>
                <w:rFonts w:hint="eastAsia" w:ascii="宋体" w:hAnsi="宋体" w:eastAsia="宋体" w:cs="宋体"/>
                <w:b w:val="0"/>
                <w:bCs w:val="0"/>
                <w:highlight w:val="none"/>
              </w:rPr>
              <w:t>得 2 分；评价为</w:t>
            </w:r>
            <w:r>
              <w:rPr>
                <w:rFonts w:hint="eastAsia" w:ascii="宋体" w:hAnsi="宋体" w:eastAsia="宋体" w:cs="宋体"/>
                <w:b w:val="0"/>
                <w:bCs w:val="0"/>
                <w:highlight w:val="none"/>
                <w:lang w:val="en-US" w:eastAsia="zh-CN"/>
              </w:rPr>
              <w:t>中</w:t>
            </w:r>
            <w:r>
              <w:rPr>
                <w:rFonts w:hint="eastAsia" w:ascii="宋体" w:hAnsi="宋体" w:eastAsia="宋体" w:cs="宋体"/>
                <w:b w:val="0"/>
                <w:bCs w:val="0"/>
                <w:highlight w:val="none"/>
              </w:rPr>
              <w:t>得 1 分</w:t>
            </w:r>
            <w:r>
              <w:rPr>
                <w:rFonts w:hint="eastAsia" w:ascii="宋体" w:hAnsi="宋体" w:eastAsia="宋体" w:cs="宋体"/>
                <w:b w:val="0"/>
                <w:bCs w:val="0"/>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616" w:type="dxa"/>
            <w:vMerge w:val="restart"/>
            <w:tcBorders>
              <w:tl2br w:val="nil"/>
              <w:tr2bl w:val="nil"/>
            </w:tcBorders>
            <w:textDirection w:val="tbRlV"/>
            <w:vAlign w:val="center"/>
          </w:tcPr>
          <w:p>
            <w:pPr>
              <w:keepNext w:val="0"/>
              <w:keepLines w:val="0"/>
              <w:pageBreakBefore w:val="0"/>
              <w:widowControl w:val="0"/>
              <w:kinsoku/>
              <w:wordWrap/>
              <w:overflowPunct/>
              <w:topLinePunct w:val="0"/>
              <w:bidi w:val="0"/>
              <w:spacing w:line="240" w:lineRule="auto"/>
              <w:ind w:left="113" w:right="113"/>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商务部分（B）（</w:t>
            </w:r>
            <w:r>
              <w:rPr>
                <w:rFonts w:hint="eastAsia" w:ascii="宋体" w:hAnsi="宋体" w:cs="宋体"/>
                <w:b/>
                <w:bCs/>
                <w:sz w:val="21"/>
                <w:szCs w:val="21"/>
                <w:highlight w:val="none"/>
                <w:lang w:val="en-US" w:eastAsia="zh-CN"/>
              </w:rPr>
              <w:t>20</w:t>
            </w:r>
            <w:r>
              <w:rPr>
                <w:rFonts w:hint="eastAsia" w:ascii="宋体" w:hAnsi="宋体" w:eastAsia="宋体" w:cs="宋体"/>
                <w:b/>
                <w:bCs/>
                <w:sz w:val="21"/>
                <w:szCs w:val="21"/>
                <w:highlight w:val="none"/>
              </w:rPr>
              <w:t>分）</w:t>
            </w:r>
          </w:p>
        </w:tc>
        <w:tc>
          <w:tcPr>
            <w:tcW w:w="759" w:type="dxa"/>
            <w:tcBorders>
              <w:tl2br w:val="nil"/>
              <w:tr2bl w:val="nil"/>
            </w:tcBorders>
            <w:vAlign w:val="center"/>
          </w:tcPr>
          <w:p>
            <w:pPr>
              <w:jc w:val="center"/>
              <w:rPr>
                <w:rFonts w:hint="eastAsia" w:ascii="宋体" w:hAnsi="宋体" w:eastAsia="宋体" w:cs="宋体"/>
                <w:b w:val="0"/>
                <w:bCs w:val="0"/>
                <w:sz w:val="21"/>
                <w:szCs w:val="21"/>
                <w:highlight w:val="none"/>
                <w:lang w:eastAsia="zh-CN"/>
              </w:rPr>
            </w:pPr>
            <w:r>
              <w:rPr>
                <w:szCs w:val="21"/>
              </w:rPr>
              <w:t>应急保障</w:t>
            </w:r>
          </w:p>
        </w:tc>
        <w:tc>
          <w:tcPr>
            <w:tcW w:w="517" w:type="dxa"/>
            <w:tcBorders>
              <w:tl2br w:val="nil"/>
              <w:tr2bl w:val="nil"/>
            </w:tcBorders>
            <w:vAlign w:val="center"/>
          </w:tcPr>
          <w:p>
            <w:pPr>
              <w:jc w:val="center"/>
              <w:rPr>
                <w:rFonts w:hint="eastAsia" w:ascii="宋体" w:hAnsi="宋体" w:eastAsia="宋体" w:cs="宋体"/>
                <w:bCs/>
                <w:sz w:val="21"/>
                <w:szCs w:val="21"/>
                <w:highlight w:val="none"/>
                <w:lang w:val="en-US" w:eastAsia="zh-CN"/>
              </w:rPr>
            </w:pPr>
            <w:r>
              <w:rPr>
                <w:rFonts w:hint="eastAsia" w:ascii="宋体" w:hAnsi="宋体" w:cs="宋体"/>
                <w:szCs w:val="21"/>
                <w:lang w:val="en-US" w:eastAsia="zh-CN"/>
              </w:rPr>
              <w:t>6</w:t>
            </w:r>
          </w:p>
        </w:tc>
        <w:tc>
          <w:tcPr>
            <w:tcW w:w="8767" w:type="dxa"/>
            <w:tcBorders>
              <w:tl2br w:val="nil"/>
              <w:tr2bl w:val="nil"/>
            </w:tcBorders>
            <w:vAlign w:val="center"/>
          </w:tcPr>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 xml:space="preserve">（一）评审内容： </w:t>
            </w:r>
          </w:p>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考察投标人所提供</w:t>
            </w:r>
            <w:r>
              <w:rPr>
                <w:rFonts w:hint="eastAsia" w:ascii="宋体" w:hAnsi="宋体" w:eastAsia="宋体" w:cs="宋体"/>
                <w:b w:val="0"/>
                <w:bCs w:val="0"/>
                <w:highlight w:val="none"/>
                <w:lang w:val="en-US" w:eastAsia="zh-CN"/>
              </w:rPr>
              <w:t>应急措施</w:t>
            </w:r>
            <w:r>
              <w:rPr>
                <w:rFonts w:hint="eastAsia" w:ascii="宋体" w:hAnsi="宋体" w:eastAsia="宋体" w:cs="宋体"/>
                <w:b w:val="0"/>
                <w:bCs w:val="0"/>
                <w:highlight w:val="none"/>
              </w:rPr>
              <w:t>、</w:t>
            </w:r>
            <w:r>
              <w:rPr>
                <w:color w:val="000000"/>
                <w:szCs w:val="21"/>
              </w:rPr>
              <w:t>故障或技术支持响应方案</w:t>
            </w:r>
            <w:r>
              <w:rPr>
                <w:rFonts w:hint="eastAsia"/>
                <w:color w:val="000000"/>
                <w:szCs w:val="21"/>
                <w:lang w:eastAsia="zh-CN"/>
              </w:rPr>
              <w:t>。</w:t>
            </w:r>
            <w:r>
              <w:rPr>
                <w:rFonts w:hint="eastAsia" w:ascii="宋体" w:hAnsi="宋体" w:eastAsia="宋体" w:cs="宋体"/>
                <w:b w:val="0"/>
                <w:bCs w:val="0"/>
                <w:highlight w:val="none"/>
              </w:rPr>
              <w:t xml:space="preserve"> </w:t>
            </w:r>
          </w:p>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1、详细分析服务过程中有可能出现的突发事件</w:t>
            </w:r>
            <w:r>
              <w:rPr>
                <w:rFonts w:hint="eastAsia" w:ascii="宋体" w:hAnsi="宋体" w:eastAsia="宋体" w:cs="宋体"/>
                <w:b w:val="0"/>
                <w:bCs w:val="0"/>
                <w:highlight w:val="none"/>
                <w:lang w:val="en-US" w:eastAsia="zh-CN"/>
              </w:rPr>
              <w:t>并提供应急措施</w:t>
            </w:r>
            <w:r>
              <w:rPr>
                <w:rFonts w:hint="eastAsia" w:ascii="宋体" w:hAnsi="宋体" w:eastAsia="宋体" w:cs="宋体"/>
                <w:b w:val="0"/>
                <w:bCs w:val="0"/>
                <w:highlight w:val="none"/>
              </w:rPr>
              <w:t xml:space="preserve">； </w:t>
            </w:r>
          </w:p>
          <w:p>
            <w:pPr>
              <w:widowControl/>
              <w:spacing w:line="320" w:lineRule="atLeast"/>
              <w:jc w:val="left"/>
              <w:rPr>
                <w:rFonts w:hint="eastAsia" w:ascii="宋体" w:hAnsi="宋体" w:eastAsia="宋体" w:cs="宋体"/>
                <w:b w:val="0"/>
                <w:bCs w:val="0"/>
                <w:highlight w:val="none"/>
                <w:lang w:eastAsia="zh-CN"/>
              </w:rPr>
            </w:pPr>
            <w:r>
              <w:rPr>
                <w:rFonts w:hint="eastAsia" w:ascii="宋体" w:hAnsi="宋体" w:eastAsia="宋体" w:cs="宋体"/>
                <w:b w:val="0"/>
                <w:bCs w:val="0"/>
                <w:highlight w:val="none"/>
              </w:rPr>
              <w:t>2、</w:t>
            </w:r>
            <w:r>
              <w:rPr>
                <w:color w:val="000000"/>
                <w:szCs w:val="21"/>
              </w:rPr>
              <w:t>故障或技术支持响应方案</w:t>
            </w:r>
            <w:r>
              <w:rPr>
                <w:rFonts w:hint="eastAsia"/>
                <w:color w:val="000000"/>
                <w:szCs w:val="21"/>
                <w:lang w:eastAsia="zh-CN"/>
              </w:rPr>
              <w:t>。</w:t>
            </w:r>
          </w:p>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 xml:space="preserve">（二）评分标准： </w:t>
            </w:r>
          </w:p>
          <w:p>
            <w:pPr>
              <w:widowControl/>
              <w:spacing w:line="320" w:lineRule="atLeast"/>
              <w:ind w:firstLine="420" w:firstLineChars="200"/>
              <w:jc w:val="left"/>
              <w:rPr>
                <w:rFonts w:hint="eastAsia" w:ascii="宋体" w:hAnsi="宋体" w:cs="宋体"/>
                <w:b w:val="0"/>
                <w:bCs w:val="0"/>
                <w:highlight w:val="none"/>
                <w:lang w:eastAsia="zh-CN"/>
              </w:rPr>
            </w:pPr>
            <w:r>
              <w:rPr>
                <w:rFonts w:hint="eastAsia" w:ascii="宋体" w:hAnsi="宋体" w:cs="宋体"/>
                <w:b w:val="0"/>
                <w:bCs w:val="0"/>
                <w:highlight w:val="none"/>
                <w:lang w:val="en-US" w:eastAsia="zh-CN"/>
              </w:rPr>
              <w:t>1、</w:t>
            </w:r>
            <w:r>
              <w:rPr>
                <w:rFonts w:hint="eastAsia" w:ascii="宋体" w:hAnsi="宋体" w:eastAsia="宋体" w:cs="宋体"/>
                <w:b w:val="0"/>
                <w:bCs w:val="0"/>
                <w:highlight w:val="none"/>
              </w:rPr>
              <w:t>投标方提供的《</w:t>
            </w:r>
            <w:r>
              <w:rPr>
                <w:rFonts w:hint="eastAsia" w:ascii="宋体" w:hAnsi="宋体" w:eastAsia="宋体" w:cs="宋体"/>
                <w:b w:val="0"/>
                <w:bCs w:val="0"/>
                <w:highlight w:val="none"/>
                <w:lang w:val="en-US" w:eastAsia="zh-CN"/>
              </w:rPr>
              <w:t>应急措施</w:t>
            </w:r>
            <w:r>
              <w:rPr>
                <w:rFonts w:hint="eastAsia" w:ascii="宋体" w:hAnsi="宋体" w:eastAsia="宋体" w:cs="宋体"/>
                <w:b w:val="0"/>
                <w:bCs w:val="0"/>
                <w:highlight w:val="none"/>
              </w:rPr>
              <w:t>、</w:t>
            </w:r>
            <w:r>
              <w:rPr>
                <w:color w:val="000000"/>
                <w:szCs w:val="21"/>
              </w:rPr>
              <w:t>故障或技术支持响应方案</w:t>
            </w:r>
            <w:r>
              <w:rPr>
                <w:rFonts w:hint="eastAsia" w:ascii="宋体" w:hAnsi="宋体" w:eastAsia="宋体" w:cs="宋体"/>
                <w:b w:val="0"/>
                <w:bCs w:val="0"/>
                <w:highlight w:val="none"/>
              </w:rPr>
              <w:t>》包含上述</w:t>
            </w:r>
            <w:r>
              <w:rPr>
                <w:rFonts w:hint="eastAsia" w:ascii="宋体" w:hAnsi="宋体" w:eastAsia="宋体" w:cs="宋体"/>
                <w:b w:val="0"/>
                <w:bCs w:val="0"/>
                <w:highlight w:val="none"/>
                <w:lang w:val="en-US" w:eastAsia="zh-CN"/>
              </w:rPr>
              <w:t>2</w:t>
            </w:r>
            <w:r>
              <w:rPr>
                <w:rFonts w:hint="eastAsia" w:ascii="宋体" w:hAnsi="宋体" w:eastAsia="宋体" w:cs="宋体"/>
                <w:b w:val="0"/>
                <w:bCs w:val="0"/>
                <w:highlight w:val="none"/>
              </w:rPr>
              <w:t>项考察内容的，得</w:t>
            </w:r>
            <w:r>
              <w:rPr>
                <w:rFonts w:hint="eastAsia" w:ascii="宋体" w:hAnsi="宋体" w:cs="宋体"/>
                <w:b w:val="0"/>
                <w:bCs w:val="0"/>
                <w:highlight w:val="none"/>
                <w:lang w:val="en-US" w:eastAsia="zh-CN"/>
              </w:rPr>
              <w:t>3</w:t>
            </w:r>
            <w:r>
              <w:rPr>
                <w:rFonts w:hint="eastAsia" w:ascii="宋体" w:hAnsi="宋体" w:eastAsia="宋体" w:cs="宋体"/>
                <w:b w:val="0"/>
                <w:bCs w:val="0"/>
                <w:highlight w:val="none"/>
              </w:rPr>
              <w:t xml:space="preserve"> 分；缺少一项扣</w:t>
            </w:r>
            <w:r>
              <w:rPr>
                <w:rFonts w:hint="eastAsia" w:ascii="宋体" w:hAnsi="宋体" w:cs="宋体"/>
                <w:b w:val="0"/>
                <w:bCs w:val="0"/>
                <w:highlight w:val="none"/>
                <w:lang w:val="en-US" w:eastAsia="zh-CN"/>
              </w:rPr>
              <w:t>1.5</w:t>
            </w:r>
            <w:r>
              <w:rPr>
                <w:rFonts w:hint="eastAsia" w:ascii="宋体" w:hAnsi="宋体" w:eastAsia="宋体" w:cs="宋体"/>
                <w:b w:val="0"/>
                <w:bCs w:val="0"/>
                <w:highlight w:val="none"/>
              </w:rPr>
              <w:t>分，无《</w:t>
            </w:r>
            <w:r>
              <w:rPr>
                <w:rFonts w:hint="eastAsia" w:ascii="宋体" w:hAnsi="宋体" w:eastAsia="宋体" w:cs="宋体"/>
                <w:b w:val="0"/>
                <w:bCs w:val="0"/>
                <w:highlight w:val="none"/>
                <w:lang w:val="en-US" w:eastAsia="zh-CN"/>
              </w:rPr>
              <w:t>应急措施</w:t>
            </w:r>
            <w:r>
              <w:rPr>
                <w:rFonts w:hint="eastAsia" w:ascii="宋体" w:hAnsi="宋体" w:eastAsia="宋体" w:cs="宋体"/>
                <w:b w:val="0"/>
                <w:bCs w:val="0"/>
                <w:highlight w:val="none"/>
              </w:rPr>
              <w:t>、</w:t>
            </w:r>
            <w:r>
              <w:rPr>
                <w:color w:val="000000"/>
                <w:szCs w:val="21"/>
              </w:rPr>
              <w:t>故障或技术支持响应方案</w:t>
            </w:r>
            <w:r>
              <w:rPr>
                <w:rFonts w:hint="eastAsia" w:ascii="宋体" w:hAnsi="宋体" w:eastAsia="宋体" w:cs="宋体"/>
                <w:b w:val="0"/>
                <w:bCs w:val="0"/>
                <w:highlight w:val="none"/>
              </w:rPr>
              <w:t xml:space="preserve">》本项不得分 </w:t>
            </w:r>
            <w:r>
              <w:rPr>
                <w:rFonts w:hint="eastAsia" w:ascii="宋体" w:hAnsi="宋体" w:cs="宋体"/>
                <w:b w:val="0"/>
                <w:bCs w:val="0"/>
                <w:highlight w:val="none"/>
                <w:lang w:eastAsia="zh-CN"/>
              </w:rPr>
              <w:t>。</w:t>
            </w:r>
          </w:p>
          <w:p>
            <w:pPr>
              <w:widowControl/>
              <w:spacing w:line="320" w:lineRule="atLeast"/>
              <w:ind w:firstLine="420" w:firstLineChars="200"/>
              <w:jc w:val="left"/>
              <w:rPr>
                <w:rFonts w:hint="eastAsia" w:ascii="宋体" w:hAnsi="宋体" w:eastAsia="宋体" w:cs="宋体"/>
                <w:b w:val="0"/>
                <w:bCs w:val="0"/>
                <w:highlight w:val="none"/>
              </w:rPr>
            </w:pPr>
            <w:r>
              <w:rPr>
                <w:rFonts w:hint="eastAsia" w:ascii="宋体" w:hAnsi="宋体" w:eastAsia="宋体" w:cs="宋体"/>
                <w:b w:val="0"/>
                <w:bCs w:val="0"/>
                <w:kern w:val="2"/>
                <w:sz w:val="21"/>
                <w:szCs w:val="24"/>
                <w:highlight w:val="none"/>
                <w:lang w:val="en-US" w:eastAsia="zh-CN" w:bidi="ar-SA"/>
              </w:rPr>
              <w:t>2、在上述基础上，由评审委员会对具体响应内容进一步评审：</w:t>
            </w:r>
            <w:r>
              <w:rPr>
                <w:rFonts w:hint="eastAsia" w:ascii="宋体" w:hAnsi="宋体" w:eastAsia="宋体" w:cs="宋体"/>
                <w:b w:val="0"/>
                <w:bCs w:val="0"/>
                <w:highlight w:val="none"/>
              </w:rPr>
              <w:t xml:space="preserve"> </w:t>
            </w:r>
          </w:p>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（1）优评审标准：方案</w:t>
            </w:r>
            <w:r>
              <w:rPr>
                <w:rFonts w:hint="eastAsia" w:ascii="宋体" w:hAnsi="宋体" w:eastAsia="宋体" w:cs="宋体"/>
                <w:b w:val="0"/>
                <w:bCs w:val="0"/>
                <w:highlight w:val="none"/>
                <w:lang w:val="en-US" w:eastAsia="zh-CN"/>
              </w:rPr>
              <w:t>内容</w:t>
            </w:r>
            <w:r>
              <w:rPr>
                <w:color w:val="000000"/>
                <w:szCs w:val="21"/>
              </w:rPr>
              <w:t>详细合理</w:t>
            </w:r>
            <w:r>
              <w:rPr>
                <w:rFonts w:hint="eastAsia" w:ascii="宋体" w:hAnsi="宋体" w:eastAsia="宋体" w:cs="宋体"/>
                <w:b w:val="0"/>
                <w:bCs w:val="0"/>
                <w:highlight w:val="none"/>
              </w:rPr>
              <w:t>、</w:t>
            </w:r>
            <w:r>
              <w:rPr>
                <w:color w:val="000000"/>
                <w:szCs w:val="21"/>
              </w:rPr>
              <w:t>针对性及操作性强</w:t>
            </w:r>
            <w:r>
              <w:rPr>
                <w:rFonts w:hint="eastAsia" w:ascii="宋体" w:hAnsi="宋体" w:eastAsia="宋体" w:cs="宋体"/>
                <w:b w:val="0"/>
                <w:bCs w:val="0"/>
                <w:highlight w:val="none"/>
              </w:rPr>
              <w:t xml:space="preserve">。 </w:t>
            </w:r>
          </w:p>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（2）良评审标准：方案内容较</w:t>
            </w:r>
            <w:r>
              <w:rPr>
                <w:rFonts w:hint="eastAsia" w:ascii="宋体" w:hAnsi="宋体" w:eastAsia="宋体" w:cs="宋体"/>
                <w:b w:val="0"/>
                <w:bCs w:val="0"/>
                <w:highlight w:val="none"/>
                <w:lang w:val="en-US" w:eastAsia="zh-CN"/>
              </w:rPr>
              <w:t>为具体</w:t>
            </w:r>
            <w:r>
              <w:rPr>
                <w:rFonts w:hint="eastAsia" w:ascii="宋体" w:hAnsi="宋体" w:eastAsia="宋体" w:cs="宋体"/>
                <w:b w:val="0"/>
                <w:bCs w:val="0"/>
                <w:highlight w:val="none"/>
              </w:rPr>
              <w:t>完整、</w:t>
            </w:r>
            <w:r>
              <w:rPr>
                <w:color w:val="000000"/>
                <w:szCs w:val="21"/>
              </w:rPr>
              <w:t>具有较强的针对性及操作性</w:t>
            </w:r>
            <w:r>
              <w:rPr>
                <w:rFonts w:hint="eastAsia" w:ascii="宋体" w:hAnsi="宋体" w:eastAsia="宋体" w:cs="宋体"/>
                <w:b w:val="0"/>
                <w:bCs w:val="0"/>
                <w:highlight w:val="none"/>
              </w:rPr>
              <w:t xml:space="preserve">。 </w:t>
            </w:r>
          </w:p>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（3）中评审标准：方案内容基本完整、</w:t>
            </w:r>
            <w:r>
              <w:rPr>
                <w:rFonts w:hint="eastAsia" w:ascii="宋体" w:hAnsi="宋体" w:eastAsia="宋体" w:cs="宋体"/>
                <w:b w:val="0"/>
                <w:bCs w:val="0"/>
                <w:highlight w:val="none"/>
                <w:lang w:val="en-US" w:eastAsia="zh-CN"/>
              </w:rPr>
              <w:t>具</w:t>
            </w:r>
            <w:r>
              <w:rPr>
                <w:color w:val="000000"/>
                <w:szCs w:val="21"/>
              </w:rPr>
              <w:t>有一定的针对性及操作性</w:t>
            </w:r>
            <w:r>
              <w:rPr>
                <w:rFonts w:hint="eastAsia" w:ascii="宋体" w:hAnsi="宋体" w:eastAsia="宋体" w:cs="宋体"/>
                <w:b w:val="0"/>
                <w:bCs w:val="0"/>
                <w:highlight w:val="none"/>
              </w:rPr>
              <w:t xml:space="preserve">。 </w:t>
            </w:r>
          </w:p>
          <w:p>
            <w:pPr>
              <w:widowControl/>
              <w:spacing w:line="320" w:lineRule="atLeast"/>
              <w:jc w:val="left"/>
              <w:rPr>
                <w:rFonts w:hint="eastAsia" w:ascii="宋体" w:hAnsi="宋体" w:eastAsia="宋体" w:cs="宋体"/>
                <w:sz w:val="21"/>
                <w:szCs w:val="21"/>
                <w:lang w:val="en-US" w:eastAsia="zh-CN"/>
              </w:rPr>
            </w:pPr>
            <w:r>
              <w:rPr>
                <w:rFonts w:hint="eastAsia" w:ascii="宋体" w:hAnsi="宋体" w:eastAsia="宋体" w:cs="宋体"/>
                <w:b w:val="0"/>
                <w:bCs w:val="0"/>
                <w:highlight w:val="none"/>
              </w:rPr>
              <w:t>评价为优</w:t>
            </w:r>
            <w:r>
              <w:rPr>
                <w:rFonts w:hint="eastAsia" w:ascii="宋体" w:hAnsi="宋体" w:eastAsia="宋体" w:cs="宋体"/>
                <w:b w:val="0"/>
                <w:bCs w:val="0"/>
                <w:highlight w:val="none"/>
                <w:lang w:val="en-US" w:eastAsia="zh-CN"/>
              </w:rPr>
              <w:t>得</w:t>
            </w:r>
            <w:r>
              <w:rPr>
                <w:rFonts w:hint="eastAsia" w:ascii="宋体" w:hAnsi="宋体" w:eastAsia="宋体" w:cs="宋体"/>
                <w:b w:val="0"/>
                <w:bCs w:val="0"/>
                <w:highlight w:val="none"/>
              </w:rPr>
              <w:t xml:space="preserve"> </w:t>
            </w:r>
            <w:r>
              <w:rPr>
                <w:rFonts w:hint="eastAsia" w:ascii="宋体" w:hAnsi="宋体" w:eastAsia="宋体" w:cs="宋体"/>
                <w:b w:val="0"/>
                <w:bCs w:val="0"/>
                <w:highlight w:val="none"/>
                <w:lang w:val="en-US" w:eastAsia="zh-CN"/>
              </w:rPr>
              <w:t>3</w:t>
            </w:r>
            <w:r>
              <w:rPr>
                <w:rFonts w:hint="eastAsia" w:ascii="宋体" w:hAnsi="宋体" w:eastAsia="宋体" w:cs="宋体"/>
                <w:b w:val="0"/>
                <w:bCs w:val="0"/>
                <w:highlight w:val="none"/>
              </w:rPr>
              <w:t xml:space="preserve"> 分；评价为</w:t>
            </w:r>
            <w:r>
              <w:rPr>
                <w:rFonts w:hint="eastAsia" w:ascii="宋体" w:hAnsi="宋体" w:eastAsia="宋体" w:cs="宋体"/>
                <w:b w:val="0"/>
                <w:bCs w:val="0"/>
                <w:highlight w:val="none"/>
                <w:lang w:val="en-US" w:eastAsia="zh-CN"/>
              </w:rPr>
              <w:t>良</w:t>
            </w:r>
            <w:r>
              <w:rPr>
                <w:rFonts w:hint="eastAsia" w:ascii="宋体" w:hAnsi="宋体" w:eastAsia="宋体" w:cs="宋体"/>
                <w:b w:val="0"/>
                <w:bCs w:val="0"/>
                <w:highlight w:val="none"/>
              </w:rPr>
              <w:t>得 2 分；评价为</w:t>
            </w:r>
            <w:r>
              <w:rPr>
                <w:rFonts w:hint="eastAsia" w:ascii="宋体" w:hAnsi="宋体" w:eastAsia="宋体" w:cs="宋体"/>
                <w:b w:val="0"/>
                <w:bCs w:val="0"/>
                <w:highlight w:val="none"/>
                <w:lang w:val="en-US" w:eastAsia="zh-CN"/>
              </w:rPr>
              <w:t>中</w:t>
            </w:r>
            <w:r>
              <w:rPr>
                <w:rFonts w:hint="eastAsia" w:ascii="宋体" w:hAnsi="宋体" w:eastAsia="宋体" w:cs="宋体"/>
                <w:b w:val="0"/>
                <w:bCs w:val="0"/>
                <w:highlight w:val="none"/>
              </w:rPr>
              <w:t>得 1 分</w:t>
            </w:r>
            <w:r>
              <w:rPr>
                <w:rFonts w:hint="eastAsia" w:ascii="宋体" w:hAnsi="宋体" w:eastAsia="宋体" w:cs="宋体"/>
                <w:b w:val="0"/>
                <w:bCs w:val="0"/>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616" w:type="dxa"/>
            <w:vMerge w:val="continue"/>
            <w:tcBorders>
              <w:tl2br w:val="nil"/>
              <w:tr2bl w:val="nil"/>
            </w:tcBorders>
            <w:textDirection w:val="tbRlV"/>
            <w:vAlign w:val="center"/>
          </w:tcPr>
          <w:p>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sz w:val="21"/>
                <w:szCs w:val="21"/>
                <w:highlight w:val="none"/>
              </w:rPr>
            </w:pPr>
          </w:p>
        </w:tc>
        <w:tc>
          <w:tcPr>
            <w:tcW w:w="759" w:type="dxa"/>
            <w:tcBorders>
              <w:tl2br w:val="nil"/>
              <w:tr2bl w:val="nil"/>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pacing w:val="20"/>
                <w:sz w:val="21"/>
                <w:szCs w:val="21"/>
                <w:highlight w:val="none"/>
                <w:lang w:eastAsia="zh-CN"/>
              </w:rPr>
              <w:t>同类业绩情况</w:t>
            </w:r>
          </w:p>
        </w:tc>
        <w:tc>
          <w:tcPr>
            <w:tcW w:w="517" w:type="dxa"/>
            <w:tcBorders>
              <w:tl2br w:val="nil"/>
              <w:tr2bl w:val="nil"/>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p>
        </w:tc>
        <w:tc>
          <w:tcPr>
            <w:tcW w:w="87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highlight w:val="none"/>
              </w:rPr>
            </w:pPr>
            <w:r>
              <w:rPr>
                <w:rFonts w:hint="eastAsia"/>
                <w:color w:val="000000"/>
                <w:szCs w:val="21"/>
              </w:rPr>
              <w:t>1.</w:t>
            </w:r>
            <w:r>
              <w:rPr>
                <w:color w:val="000000"/>
                <w:szCs w:val="21"/>
              </w:rPr>
              <w:t>评审标准：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投标人提供近</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年（自20</w:t>
            </w:r>
            <w:r>
              <w:rPr>
                <w:rFonts w:hint="eastAsia" w:ascii="宋体" w:hAnsi="宋体" w:eastAsia="宋体" w:cs="宋体"/>
                <w:color w:val="000000"/>
                <w:sz w:val="21"/>
                <w:szCs w:val="21"/>
                <w:highlight w:val="none"/>
                <w:lang w:val="en-US" w:eastAsia="zh-CN"/>
              </w:rPr>
              <w:t>2</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年1月1日起至本项目投标截止日止，以证明文件落款日期为准）的类似项目业绩情况。</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color w:val="000000"/>
                <w:szCs w:val="21"/>
              </w:rPr>
            </w:pPr>
            <w:r>
              <w:rPr>
                <w:color w:val="000000"/>
                <w:szCs w:val="21"/>
              </w:rPr>
              <w:t>每提供1个得</w:t>
            </w:r>
            <w:r>
              <w:rPr>
                <w:rFonts w:hint="eastAsia"/>
                <w:color w:val="000000"/>
                <w:szCs w:val="21"/>
                <w:lang w:val="en-US" w:eastAsia="zh-CN"/>
              </w:rPr>
              <w:t>2</w:t>
            </w:r>
            <w:r>
              <w:rPr>
                <w:color w:val="000000"/>
                <w:szCs w:val="21"/>
              </w:rPr>
              <w:t>分，提供</w:t>
            </w:r>
            <w:r>
              <w:rPr>
                <w:rFonts w:hint="eastAsia"/>
                <w:color w:val="000000"/>
                <w:szCs w:val="21"/>
                <w:lang w:val="en-US" w:eastAsia="zh-CN"/>
              </w:rPr>
              <w:t>5</w:t>
            </w:r>
            <w:r>
              <w:rPr>
                <w:color w:val="000000"/>
                <w:szCs w:val="21"/>
              </w:rPr>
              <w:t>个类似业绩得满分</w:t>
            </w:r>
            <w:r>
              <w:rPr>
                <w:rFonts w:hint="eastAsia"/>
                <w:color w:val="000000"/>
                <w:szCs w:val="21"/>
                <w:lang w:val="en-US" w:eastAsia="zh-CN"/>
              </w:rPr>
              <w:t>10</w:t>
            </w:r>
            <w:r>
              <w:rPr>
                <w:color w:val="000000"/>
                <w:szCs w:val="21"/>
              </w:rPr>
              <w:t>分，未提供的不得分。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color w:val="000000"/>
                <w:szCs w:val="21"/>
              </w:rPr>
            </w:pPr>
            <w:r>
              <w:rPr>
                <w:color w:val="000000"/>
                <w:szCs w:val="21"/>
              </w:rPr>
              <w:t>2.证明文件：</w:t>
            </w:r>
          </w:p>
          <w:p>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sz w:val="21"/>
                <w:szCs w:val="21"/>
                <w:highlight w:val="none"/>
              </w:rPr>
            </w:pPr>
            <w:r>
              <w:rPr>
                <w:color w:val="000000"/>
                <w:szCs w:val="21"/>
              </w:rPr>
              <w:t>投标人必须提供类似项目合同关键页或中标通知书</w:t>
            </w:r>
            <w:r>
              <w:rPr>
                <w:rFonts w:hint="eastAsia"/>
                <w:color w:val="000000"/>
                <w:szCs w:val="21"/>
                <w:lang w:eastAsia="zh-CN"/>
              </w:rPr>
              <w:t>及发票扫描件</w:t>
            </w:r>
            <w:r>
              <w:rPr>
                <w:color w:val="000000"/>
                <w:szCs w:val="21"/>
              </w:rPr>
              <w:t>，原件备查。未提供证明材料或者提供的证明材料不符合要求或提供的证明材料不清晰评审专家无法辨认的，不得分。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616" w:type="dxa"/>
            <w:vMerge w:val="continue"/>
            <w:tcBorders>
              <w:tl2br w:val="nil"/>
              <w:tr2bl w:val="nil"/>
            </w:tcBorders>
            <w:textDirection w:val="tbRlV"/>
            <w:vAlign w:val="center"/>
          </w:tcPr>
          <w:p>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sz w:val="21"/>
                <w:szCs w:val="21"/>
                <w:highlight w:val="none"/>
              </w:rPr>
            </w:pPr>
          </w:p>
        </w:tc>
        <w:tc>
          <w:tcPr>
            <w:tcW w:w="7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pacing w:val="20"/>
                <w:sz w:val="21"/>
                <w:szCs w:val="21"/>
                <w:highlight w:val="none"/>
                <w:lang w:eastAsia="zh-CN"/>
              </w:rPr>
            </w:pPr>
            <w:r>
              <w:rPr>
                <w:rFonts w:hint="eastAsia" w:ascii="宋体" w:hAnsi="宋体" w:eastAsia="宋体" w:cs="宋体"/>
                <w:sz w:val="21"/>
                <w:szCs w:val="21"/>
                <w:highlight w:val="none"/>
              </w:rPr>
              <w:t>诚信评审</w:t>
            </w:r>
          </w:p>
        </w:tc>
        <w:tc>
          <w:tcPr>
            <w:tcW w:w="5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w:t>
            </w:r>
          </w:p>
        </w:tc>
        <w:tc>
          <w:tcPr>
            <w:tcW w:w="87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评审标准：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投标人在参与政府采购活动中存在诚信相关问题且在主管部门相关处理措施实施期限内的，本项不得分，否则得满分。投标人无需提供任何证明材料，由工作人员向评审委员会提供相关信息。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68" w:hRule="atLeast"/>
        </w:trPr>
        <w:tc>
          <w:tcPr>
            <w:tcW w:w="616" w:type="dxa"/>
            <w:tcBorders>
              <w:tl2br w:val="nil"/>
              <w:tr2bl w:val="nil"/>
            </w:tcBorders>
            <w:textDirection w:val="tbLrV"/>
            <w:vAlign w:val="center"/>
          </w:tcPr>
          <w:p>
            <w:pPr>
              <w:keepNext w:val="0"/>
              <w:keepLines w:val="0"/>
              <w:pageBreakBefore w:val="0"/>
              <w:widowControl w:val="0"/>
              <w:kinsoku/>
              <w:wordWrap/>
              <w:overflowPunct/>
              <w:topLinePunct w:val="0"/>
              <w:bidi w:val="0"/>
              <w:spacing w:line="240" w:lineRule="auto"/>
              <w:ind w:left="113" w:right="113"/>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价格部分（C）</w:t>
            </w:r>
          </w:p>
          <w:p>
            <w:pPr>
              <w:keepNext w:val="0"/>
              <w:keepLines w:val="0"/>
              <w:pageBreakBefore w:val="0"/>
              <w:widowControl w:val="0"/>
              <w:kinsoku/>
              <w:wordWrap/>
              <w:overflowPunct/>
              <w:topLinePunct w:val="0"/>
              <w:bidi w:val="0"/>
              <w:spacing w:line="240" w:lineRule="auto"/>
              <w:ind w:left="113" w:right="113"/>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（20分）</w:t>
            </w:r>
          </w:p>
        </w:tc>
        <w:tc>
          <w:tcPr>
            <w:tcW w:w="759" w:type="dxa"/>
            <w:tcBorders>
              <w:tl2br w:val="nil"/>
              <w:tr2bl w:val="nil"/>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投标总价</w:t>
            </w:r>
          </w:p>
        </w:tc>
        <w:tc>
          <w:tcPr>
            <w:tcW w:w="517" w:type="dxa"/>
            <w:tcBorders>
              <w:tl2br w:val="nil"/>
              <w:tr2bl w:val="nil"/>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8767" w:type="dxa"/>
            <w:tcBorders>
              <w:tl2br w:val="nil"/>
              <w:tr2bl w:val="nil"/>
            </w:tcBorders>
            <w:vAlign w:val="center"/>
          </w:tcPr>
          <w:p>
            <w:pPr>
              <w:keepNext w:val="0"/>
              <w:keepLines w:val="0"/>
              <w:pageBreakBefore w:val="0"/>
              <w:widowControl w:val="0"/>
              <w:tabs>
                <w:tab w:val="left" w:pos="4995"/>
              </w:tabs>
              <w:kinsoku/>
              <w:wordWrap/>
              <w:overflowPunct/>
              <w:topLinePunct w:val="0"/>
              <w:bidi w:val="0"/>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满足招标文件要求且投标价格最低的投标报价为评标基准价，其价格分为满分。其他投标人的价格分统一按照下列公式计算：</w:t>
            </w:r>
          </w:p>
          <w:p>
            <w:pPr>
              <w:keepNext w:val="0"/>
              <w:keepLines w:val="0"/>
              <w:pageBreakBefore w:val="0"/>
              <w:widowControl w:val="0"/>
              <w:tabs>
                <w:tab w:val="left" w:pos="4995"/>
              </w:tabs>
              <w:kinsoku/>
              <w:wordWrap/>
              <w:overflowPunct/>
              <w:topLinePunct w:val="0"/>
              <w:bidi w:val="0"/>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投标报价得分=(评标基准价／投标报价) ×20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892" w:type="dxa"/>
            <w:gridSpan w:val="3"/>
            <w:tcBorders>
              <w:tl2br w:val="nil"/>
              <w:tr2bl w:val="nil"/>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总得分（T）</w:t>
            </w:r>
          </w:p>
        </w:tc>
        <w:tc>
          <w:tcPr>
            <w:tcW w:w="8767" w:type="dxa"/>
            <w:tcBorders>
              <w:tl2br w:val="nil"/>
              <w:tr2bl w:val="nil"/>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T=A+B+C</w:t>
            </w:r>
          </w:p>
        </w:tc>
      </w:tr>
    </w:tbl>
    <w:p>
      <w:pPr>
        <w:keepNext w:val="0"/>
        <w:keepLines w:val="0"/>
        <w:pageBreakBefore w:val="0"/>
        <w:widowControl w:val="0"/>
        <w:kinsoku/>
        <w:overflowPunct/>
        <w:topLinePunct w:val="0"/>
        <w:bidi w:val="0"/>
      </w:pPr>
      <w:r>
        <w:br w:type="page"/>
      </w:r>
    </w:p>
    <w:p>
      <w:pPr>
        <w:spacing w:line="360" w:lineRule="auto"/>
        <w:jc w:val="center"/>
        <w:rPr>
          <w:rFonts w:ascii="黑体" w:hAnsi="黑体" w:eastAsia="黑体" w:cs="黑体"/>
          <w:b/>
          <w:bCs/>
          <w:sz w:val="44"/>
          <w:szCs w:val="44"/>
        </w:rPr>
      </w:pPr>
      <w:r>
        <w:rPr>
          <w:rFonts w:hint="eastAsia" w:ascii="黑体" w:hAnsi="黑体" w:eastAsia="黑体" w:cs="黑体"/>
          <w:b/>
          <w:bCs/>
          <w:sz w:val="44"/>
          <w:szCs w:val="44"/>
        </w:rPr>
        <w:t>项目需求</w:t>
      </w:r>
    </w:p>
    <w:p>
      <w:pPr>
        <w:spacing w:line="360" w:lineRule="auto"/>
        <w:jc w:val="center"/>
        <w:rPr>
          <w:rFonts w:ascii="宋体" w:hAnsi="宋体"/>
          <w:b/>
          <w:bCs/>
          <w:sz w:val="28"/>
          <w:szCs w:val="28"/>
        </w:rPr>
      </w:pPr>
      <w:r>
        <w:rPr>
          <w:rFonts w:hint="eastAsia" w:ascii="宋体" w:hAnsi="宋体" w:eastAsia="宋体" w:cs="Times New Roman"/>
          <w:b/>
          <w:bCs/>
          <w:sz w:val="28"/>
          <w:szCs w:val="28"/>
        </w:rPr>
        <w:t>注：投标人须对本项目的技术规格和商务条款进行整体逐条响应</w:t>
      </w:r>
    </w:p>
    <w:p>
      <w:pPr>
        <w:numPr>
          <w:ilvl w:val="0"/>
          <w:numId w:val="3"/>
        </w:numPr>
        <w:spacing w:line="360" w:lineRule="auto"/>
        <w:rPr>
          <w:rFonts w:hint="eastAsia" w:ascii="宋体" w:hAnsi="宋体" w:cs="Times New Roman"/>
          <w:b/>
          <w:bCs w:val="0"/>
          <w:color w:val="FF0000"/>
          <w:sz w:val="24"/>
        </w:rPr>
      </w:pPr>
      <w:r>
        <w:rPr>
          <w:rFonts w:hint="eastAsia" w:ascii="宋体" w:hAnsi="宋体" w:eastAsia="宋体" w:cs="Times New Roman"/>
          <w:b/>
          <w:bCs w:val="0"/>
          <w:color w:val="FF0000"/>
          <w:sz w:val="24"/>
        </w:rPr>
        <w:t>带★号要求为不可偏离要求，如出现负偏离，将导致投标无效。</w:t>
      </w:r>
      <w:r>
        <w:rPr>
          <w:rFonts w:hint="eastAsia" w:ascii="宋体" w:hAnsi="宋体" w:eastAsia="宋体" w:cs="Times New Roman"/>
          <w:b/>
          <w:bCs w:val="0"/>
          <w:color w:val="FF0000"/>
          <w:sz w:val="24"/>
          <w:lang w:eastAsia="zh-CN"/>
        </w:rPr>
        <w:t>“</w:t>
      </w:r>
      <w:r>
        <w:rPr>
          <w:rFonts w:hint="eastAsia" w:ascii="宋体" w:hAnsi="宋体" w:eastAsia="宋体" w:cs="Times New Roman"/>
          <w:b/>
          <w:bCs w:val="0"/>
          <w:color w:val="FF0000"/>
          <w:sz w:val="24"/>
        </w:rPr>
        <w:t>商务和服务条款要求</w:t>
      </w:r>
      <w:r>
        <w:rPr>
          <w:rFonts w:hint="eastAsia" w:ascii="宋体" w:hAnsi="宋体" w:eastAsia="宋体" w:cs="Times New Roman"/>
          <w:b/>
          <w:bCs w:val="0"/>
          <w:color w:val="FF0000"/>
          <w:sz w:val="24"/>
          <w:lang w:eastAsia="zh-CN"/>
        </w:rPr>
        <w:t>”</w:t>
      </w:r>
      <w:r>
        <w:rPr>
          <w:rFonts w:hint="eastAsia" w:ascii="宋体" w:hAnsi="宋体" w:eastAsia="宋体" w:cs="Times New Roman"/>
          <w:b/>
          <w:bCs w:val="0"/>
          <w:color w:val="FF0000"/>
          <w:sz w:val="24"/>
          <w:lang w:val="en-US" w:eastAsia="zh-CN"/>
        </w:rPr>
        <w:t>部分内容为项目正常开展的基本要求，均为★号条款要求。</w:t>
      </w:r>
    </w:p>
    <w:p>
      <w:pPr>
        <w:numPr>
          <w:ilvl w:val="0"/>
          <w:numId w:val="0"/>
        </w:numPr>
        <w:spacing w:line="360" w:lineRule="auto"/>
        <w:rPr>
          <w:rFonts w:ascii="宋体" w:hAnsi="宋体"/>
          <w:bCs/>
          <w:sz w:val="24"/>
        </w:rPr>
      </w:pPr>
      <w:r>
        <w:rPr>
          <w:rFonts w:hint="eastAsia" w:ascii="宋体" w:hAnsi="宋体" w:eastAsia="宋体" w:cs="Times New Roman"/>
          <w:bCs/>
          <w:sz w:val="24"/>
        </w:rPr>
        <w:t>2.带▲号参数为重要参数，其他参数（非▲号参数）为普通参数，如出现负偏离，将按照评分准则做扣分处理。如注明要求提供相关佐证材料的，需以佐证材料作为是否偏离的依据。</w:t>
      </w:r>
    </w:p>
    <w:p>
      <w:pPr>
        <w:spacing w:line="360" w:lineRule="auto"/>
        <w:rPr>
          <w:rFonts w:hint="eastAsia" w:ascii="宋体" w:hAnsi="宋体" w:eastAsia="宋体" w:cs="Times New Roman"/>
          <w:bCs/>
          <w:sz w:val="24"/>
          <w:lang w:eastAsia="zh-CN"/>
        </w:rPr>
      </w:pPr>
      <w:r>
        <w:rPr>
          <w:rFonts w:hint="eastAsia" w:ascii="宋体" w:hAnsi="宋体" w:eastAsia="宋体" w:cs="Times New Roman"/>
          <w:bCs/>
          <w:sz w:val="24"/>
        </w:rPr>
        <w:t>3.所列的技术参数需求中如出现品牌信息仅供参考，不作为参数要求，目的只为投标人更清楚地了解采购需求，投标人可提供其他品牌设备投标。</w:t>
      </w:r>
    </w:p>
    <w:p>
      <w:pPr>
        <w:pStyle w:val="11"/>
        <w:spacing w:line="360" w:lineRule="auto"/>
        <w:ind w:firstLine="0"/>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4.如有方案表述中有出现类似可实现、实现、可支持、支持等描述的，均表示方案需要实现的功能或应满足的要求，即项目在验收时无须增加其他额外设备或系统，使用本项目中的设备或系统即能实现相应功能或满足相关要求。</w:t>
      </w:r>
    </w:p>
    <w:p>
      <w:pPr>
        <w:spacing w:line="360" w:lineRule="auto"/>
        <w:rPr>
          <w:rFonts w:hint="eastAsia" w:ascii="宋体" w:hAnsi="宋体" w:cs="Times New Roman"/>
          <w:bCs/>
          <w:kern w:val="2"/>
          <w:sz w:val="24"/>
          <w:szCs w:val="24"/>
          <w:lang w:val="en-US" w:eastAsia="zh-CN" w:bidi="ar-SA"/>
        </w:rPr>
      </w:pPr>
      <w:r>
        <w:rPr>
          <w:rFonts w:hint="eastAsia" w:ascii="宋体" w:hAnsi="宋体" w:eastAsia="宋体" w:cs="Times New Roman"/>
          <w:b/>
          <w:bCs w:val="0"/>
          <w:color w:val="FF0000"/>
          <w:kern w:val="2"/>
          <w:sz w:val="24"/>
          <w:szCs w:val="24"/>
          <w:lang w:val="en-US" w:eastAsia="zh-CN" w:bidi="ar-SA"/>
        </w:rPr>
        <w:t>5.针对招标文件产品技术参数如涉及相关既定值、单向范围值、区间范围值的，投标技术参数响应方式举例说明如下：</w:t>
      </w:r>
    </w:p>
    <w:p>
      <w:pPr>
        <w:spacing w:line="360" w:lineRule="auto"/>
        <w:rPr>
          <w:rFonts w:hint="eastAsia" w:ascii="宋体" w:hAnsi="宋体" w:cs="Times New Roman"/>
          <w:bCs/>
          <w:color w:val="FF0000"/>
          <w:kern w:val="2"/>
          <w:sz w:val="24"/>
          <w:szCs w:val="24"/>
          <w:lang w:val="en-US" w:eastAsia="zh-CN" w:bidi="ar-SA"/>
        </w:rPr>
      </w:pPr>
      <w:r>
        <w:rPr>
          <w:rFonts w:hint="eastAsia" w:ascii="宋体" w:hAnsi="宋体" w:eastAsia="宋体" w:cs="Times New Roman"/>
          <w:bCs/>
          <w:color w:val="FF0000"/>
          <w:kern w:val="2"/>
          <w:sz w:val="24"/>
          <w:szCs w:val="24"/>
          <w:lang w:val="en-US" w:eastAsia="zh-CN" w:bidi="ar-SA"/>
        </w:rPr>
        <w:t>（1）涉及相关既定值的，例：招标技术参数要求值为“20L”，投标技术参数响应值与“20L”不一致的，均视为负偏离；</w:t>
      </w:r>
    </w:p>
    <w:p>
      <w:pPr>
        <w:spacing w:line="360" w:lineRule="auto"/>
        <w:rPr>
          <w:rFonts w:hint="eastAsia" w:ascii="宋体" w:hAnsi="宋体" w:cs="Times New Roman"/>
          <w:bCs/>
          <w:color w:val="FF0000"/>
          <w:kern w:val="2"/>
          <w:sz w:val="24"/>
          <w:szCs w:val="24"/>
          <w:lang w:val="en-US" w:eastAsia="zh-CN" w:bidi="ar-SA"/>
        </w:rPr>
      </w:pPr>
      <w:r>
        <w:rPr>
          <w:rFonts w:hint="eastAsia" w:ascii="宋体" w:hAnsi="宋体" w:eastAsia="宋体" w:cs="Times New Roman"/>
          <w:bCs/>
          <w:color w:val="FF0000"/>
          <w:kern w:val="2"/>
          <w:sz w:val="24"/>
          <w:szCs w:val="24"/>
          <w:lang w:val="en-US" w:eastAsia="zh-CN" w:bidi="ar-SA"/>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spacing w:line="360" w:lineRule="auto"/>
        <w:rPr>
          <w:rFonts w:hint="eastAsia" w:ascii="宋体" w:hAnsi="宋体" w:eastAsia="宋体" w:cs="Times New Roman"/>
          <w:bCs/>
          <w:color w:val="FF0000"/>
          <w:kern w:val="2"/>
          <w:sz w:val="24"/>
          <w:szCs w:val="24"/>
          <w:lang w:val="en-US" w:eastAsia="zh-CN" w:bidi="ar-SA"/>
        </w:rPr>
      </w:pPr>
      <w:r>
        <w:rPr>
          <w:rFonts w:hint="eastAsia" w:ascii="宋体" w:hAnsi="宋体" w:eastAsia="宋体" w:cs="Times New Roman"/>
          <w:bCs/>
          <w:color w:val="FF0000"/>
          <w:kern w:val="2"/>
          <w:sz w:val="24"/>
          <w:szCs w:val="24"/>
          <w:lang w:val="en-US" w:eastAsia="zh-CN" w:bidi="ar-SA"/>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pPr>
        <w:pStyle w:val="2"/>
        <w:rPr>
          <w:rFonts w:hint="eastAsia" w:ascii="宋体" w:hAnsi="宋体" w:eastAsia="宋体" w:cs="Times New Roman"/>
          <w:bCs/>
          <w:color w:val="FF0000"/>
          <w:kern w:val="2"/>
          <w:sz w:val="24"/>
          <w:szCs w:val="24"/>
          <w:lang w:val="en-US" w:eastAsia="zh-CN" w:bidi="ar-SA"/>
        </w:rPr>
      </w:pPr>
    </w:p>
    <w:p>
      <w:pPr>
        <w:pStyle w:val="2"/>
        <w:rPr>
          <w:rFonts w:hint="eastAsia" w:ascii="宋体" w:hAnsi="宋体" w:eastAsia="宋体" w:cs="Times New Roman"/>
          <w:bCs/>
          <w:color w:val="FF0000"/>
          <w:kern w:val="2"/>
          <w:sz w:val="24"/>
          <w:szCs w:val="24"/>
          <w:lang w:val="en-US" w:eastAsia="zh-CN" w:bidi="ar-SA"/>
        </w:rPr>
      </w:pPr>
    </w:p>
    <w:p>
      <w:pPr>
        <w:pStyle w:val="2"/>
        <w:rPr>
          <w:rFonts w:hint="eastAsia" w:ascii="宋体" w:hAnsi="宋体" w:eastAsia="宋体" w:cs="Times New Roman"/>
          <w:bCs/>
          <w:color w:val="FF0000"/>
          <w:kern w:val="2"/>
          <w:sz w:val="24"/>
          <w:szCs w:val="24"/>
          <w:lang w:val="en-US" w:eastAsia="zh-CN" w:bidi="ar-SA"/>
        </w:rPr>
      </w:pPr>
    </w:p>
    <w:p>
      <w:pPr>
        <w:pStyle w:val="2"/>
        <w:rPr>
          <w:rFonts w:hint="eastAsia" w:ascii="宋体" w:hAnsi="宋体" w:eastAsia="宋体" w:cs="Times New Roman"/>
          <w:bCs/>
          <w:color w:val="FF0000"/>
          <w:kern w:val="2"/>
          <w:sz w:val="24"/>
          <w:szCs w:val="24"/>
          <w:lang w:val="en-US" w:eastAsia="zh-CN" w:bidi="ar-SA"/>
        </w:rPr>
      </w:pPr>
    </w:p>
    <w:p>
      <w:pPr>
        <w:keepNext w:val="0"/>
        <w:keepLines w:val="0"/>
        <w:pageBreakBefore w:val="0"/>
        <w:widowControl w:val="0"/>
        <w:kinsoku/>
        <w:overflowPunct/>
        <w:topLinePunct w:val="0"/>
        <w:bidi w:val="0"/>
        <w:spacing w:before="156" w:beforeLines="50" w:after="156" w:afterLines="50" w:line="300" w:lineRule="auto"/>
        <w:ind w:firstLine="562" w:firstLineChars="200"/>
        <w:jc w:val="center"/>
        <w:rPr>
          <w:rFonts w:hint="eastAsia" w:ascii="宋体" w:hAnsi="宋体" w:eastAsia="宋体" w:cs="Times New Roman"/>
          <w:b/>
          <w:bCs/>
          <w:sz w:val="28"/>
          <w:szCs w:val="28"/>
          <w:lang w:eastAsia="zh-CN"/>
        </w:rPr>
      </w:pPr>
      <w:r>
        <w:rPr>
          <w:rFonts w:hint="eastAsia" w:ascii="宋体" w:hAnsi="宋体" w:cs="Times New Roman"/>
          <w:b/>
          <w:bCs/>
          <w:sz w:val="28"/>
          <w:szCs w:val="28"/>
          <w:lang w:val="en-US" w:eastAsia="zh-CN"/>
        </w:rPr>
        <w:t>一</w:t>
      </w:r>
      <w:r>
        <w:rPr>
          <w:rFonts w:hint="eastAsia" w:ascii="宋体" w:hAnsi="宋体" w:eastAsia="宋体" w:cs="Times New Roman"/>
          <w:b/>
          <w:bCs/>
          <w:sz w:val="28"/>
          <w:szCs w:val="28"/>
        </w:rPr>
        <w:t>、</w:t>
      </w:r>
      <w:r>
        <w:rPr>
          <w:rFonts w:hint="eastAsia" w:ascii="宋体" w:hAnsi="宋体" w:cs="Times New Roman"/>
          <w:b/>
          <w:bCs/>
          <w:sz w:val="28"/>
          <w:szCs w:val="28"/>
          <w:lang w:eastAsia="zh-CN"/>
        </w:rPr>
        <w:t>技术参数要求</w:t>
      </w:r>
    </w:p>
    <w:tbl>
      <w:tblPr>
        <w:tblStyle w:val="28"/>
        <w:tblW w:w="10200" w:type="dxa"/>
        <w:jc w:val="center"/>
        <w:tblInd w:w="-20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96"/>
        <w:gridCol w:w="1104"/>
        <w:gridCol w:w="78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1296" w:type="dxa"/>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b/>
                <w:bCs/>
                <w:color w:val="000000"/>
                <w:sz w:val="21"/>
                <w:szCs w:val="21"/>
                <w:lang w:val="en-US" w:eastAsia="zh-CN" w:bidi="ar"/>
              </w:rPr>
            </w:pPr>
            <w:bookmarkStart w:id="2" w:name="_Toc6415857"/>
            <w:r>
              <w:rPr>
                <w:rFonts w:hint="eastAsia" w:ascii="宋体" w:hAnsi="宋体" w:cs="宋体"/>
                <w:b/>
                <w:bCs/>
                <w:color w:val="000000"/>
                <w:sz w:val="21"/>
                <w:szCs w:val="21"/>
                <w:lang w:val="en-US" w:eastAsia="zh-CN" w:bidi="ar"/>
              </w:rPr>
              <w:t>项目名称</w:t>
            </w:r>
          </w:p>
        </w:tc>
        <w:tc>
          <w:tcPr>
            <w:tcW w:w="1104" w:type="dxa"/>
            <w:tcBorders>
              <w:tl2br w:val="nil"/>
              <w:tr2bl w:val="nil"/>
            </w:tcBorders>
            <w:tcMar>
              <w:top w:w="15" w:type="dxa"/>
              <w:left w:w="15" w:type="dxa"/>
              <w:bottom w:w="0" w:type="dxa"/>
              <w:right w:w="15" w:type="dxa"/>
            </w:tcMar>
            <w:vAlign w:val="center"/>
          </w:tcPr>
          <w:p>
            <w:pPr>
              <w:widowControl/>
              <w:jc w:val="center"/>
              <w:textAlignment w:val="center"/>
              <w:rPr>
                <w:rFonts w:hint="eastAsia" w:ascii="宋体" w:hAnsi="宋体" w:cs="宋体"/>
                <w:b/>
                <w:bCs/>
                <w:color w:val="000000"/>
                <w:sz w:val="21"/>
                <w:szCs w:val="21"/>
                <w:lang w:val="en-US" w:eastAsia="zh-CN"/>
              </w:rPr>
            </w:pPr>
            <w:r>
              <w:rPr>
                <w:rFonts w:hint="eastAsia" w:ascii="宋体" w:hAnsi="宋体" w:cs="宋体"/>
                <w:b/>
                <w:bCs/>
                <w:color w:val="000000"/>
                <w:sz w:val="21"/>
                <w:szCs w:val="21"/>
                <w:lang w:val="en-US" w:eastAsia="zh-CN"/>
              </w:rPr>
              <w:t>需求内容</w:t>
            </w:r>
          </w:p>
        </w:tc>
        <w:tc>
          <w:tcPr>
            <w:tcW w:w="7800" w:type="dxa"/>
            <w:tcBorders>
              <w:tl2br w:val="nil"/>
              <w:tr2bl w:val="nil"/>
            </w:tcBorders>
            <w:tcMar>
              <w:top w:w="15" w:type="dxa"/>
              <w:left w:w="15" w:type="dxa"/>
              <w:bottom w:w="0" w:type="dxa"/>
              <w:right w:w="15" w:type="dxa"/>
            </w:tcMar>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技术参数和性能要求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1296" w:type="dxa"/>
            <w:vMerge w:val="restart"/>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b/>
                <w:bCs/>
                <w:color w:val="000000"/>
                <w:sz w:val="21"/>
                <w:szCs w:val="21"/>
                <w:lang w:eastAsia="zh-CN" w:bidi="ar"/>
              </w:rPr>
            </w:pPr>
            <w:r>
              <w:rPr>
                <w:rFonts w:hint="eastAsia" w:ascii="宋体" w:hAnsi="宋体" w:eastAsia="宋体" w:cs="宋体"/>
                <w:b/>
                <w:bCs/>
                <w:color w:val="000000"/>
                <w:sz w:val="21"/>
                <w:szCs w:val="21"/>
                <w:lang w:eastAsia="zh-CN" w:bidi="ar"/>
              </w:rPr>
              <w:t>短信</w:t>
            </w:r>
          </w:p>
          <w:p>
            <w:pPr>
              <w:widowControl/>
              <w:jc w:val="center"/>
              <w:rPr>
                <w:rFonts w:hint="eastAsia" w:ascii="宋体" w:hAnsi="宋体" w:eastAsia="宋体" w:cs="宋体"/>
                <w:color w:val="000000"/>
                <w:sz w:val="21"/>
                <w:szCs w:val="21"/>
                <w:lang w:eastAsia="zh-CN" w:bidi="ar"/>
              </w:rPr>
            </w:pPr>
            <w:r>
              <w:rPr>
                <w:rFonts w:hint="eastAsia" w:ascii="宋体" w:hAnsi="宋体" w:eastAsia="宋体" w:cs="宋体"/>
                <w:b/>
                <w:bCs/>
                <w:color w:val="000000"/>
                <w:sz w:val="21"/>
                <w:szCs w:val="21"/>
                <w:lang w:eastAsia="zh-CN" w:bidi="ar"/>
              </w:rPr>
              <w:t>服务平台</w:t>
            </w:r>
          </w:p>
        </w:tc>
        <w:tc>
          <w:tcPr>
            <w:tcW w:w="1104" w:type="dxa"/>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val="en-US" w:eastAsia="zh-CN" w:bidi="ar"/>
              </w:rPr>
            </w:pPr>
            <w:r>
              <w:rPr>
                <w:rFonts w:hint="eastAsia" w:ascii="宋体" w:hAnsi="宋体" w:cs="宋体"/>
                <w:color w:val="000000"/>
                <w:sz w:val="21"/>
                <w:szCs w:val="21"/>
                <w:lang w:val="en-US" w:eastAsia="zh-CN" w:bidi="ar"/>
              </w:rPr>
              <w:t>项目介绍</w:t>
            </w: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宝安妇幼医院短信服务主要用于向宝安妇幼网站用户发送短信验证码、通知等内容，现拟对短信服务进行采购。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restart"/>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短信通道</w:t>
            </w:r>
          </w:p>
          <w:p>
            <w:pPr>
              <w:widowControl/>
              <w:jc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要求</w:t>
            </w: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1.通道须为三网合一短信通道。支持向全国大陆地区的移动用户、联通用户和电信用户发送短信，且接收号码显示均为同一号码。短信通道需为直连网关的独立通道。通道需要支持运营商新增的所有号段下发，要求覆盖全部手机用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2.供应商需提供1个主通道，2个备用通道。对全国手机号发送短信使用的号码长度主通道和备用通道均为专属固定号码，号码长度不得超过12位。为提高辨识度，要求主通道对全国手机号发送短信所使用的号段以1069开头、0388结尾；备用通道对全国手机号发送短信所使用的号段以1069或1068开头、以0388结尾。后期如有变化应根据采购人的需要变更号码。（如为自有通道，需提供有效的《中华人民共和国电信网码号资源使用证书》（证书中“码号资源”号码需与供应商拟投入本项目使用的通道码号一致）复印件并加盖公章；如为租赁通道，需提供租赁合同及被租赁通道的《中华人民共和国电信网码号资源使用证书》复印件并加盖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3.通道应提供上行短信的功能，即手机用户按照供应商发送短信的号码回复短信时，供应商应将短信及时反馈给采购人的短信平台。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4.供应商在短信运营商的短信通道发送速率合计达3000条/秒以上，日发送量≥100万条；并承诺随着业务的发展，按实际流量的需要对通道的短信发送速率进行扩充</w:t>
            </w:r>
            <w:r>
              <w:rPr>
                <w:rFonts w:hint="eastAsia" w:ascii="宋体" w:hAnsi="宋体" w:eastAsia="宋体" w:cs="宋体"/>
                <w:b w:val="0"/>
                <w:bCs w:val="0"/>
                <w:color w:val="000000"/>
                <w:sz w:val="21"/>
                <w:szCs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5</w:t>
            </w:r>
            <w:r>
              <w:rPr>
                <w:rFonts w:hint="eastAsia" w:ascii="宋体" w:hAnsi="宋体" w:eastAsia="宋体" w:cs="宋体"/>
                <w:b w:val="0"/>
                <w:bCs w:val="0"/>
                <w:color w:val="000000"/>
                <w:sz w:val="21"/>
                <w:szCs w:val="21"/>
                <w:lang w:eastAsia="zh-CN"/>
              </w:rPr>
              <w:t>.正常无问题的环境下5秒内验证码类短信到达用户手机，10秒内其他短信到达用户手机，短信到达用户手机成功率达到99.9%以上。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6</w:t>
            </w:r>
            <w:r>
              <w:rPr>
                <w:rFonts w:hint="eastAsia" w:ascii="宋体" w:hAnsi="宋体" w:eastAsia="宋体" w:cs="宋体"/>
                <w:b w:val="0"/>
                <w:bCs w:val="0"/>
                <w:color w:val="000000"/>
                <w:sz w:val="21"/>
                <w:szCs w:val="21"/>
                <w:lang w:eastAsia="zh-CN"/>
              </w:rPr>
              <w:t>.及时反馈短信接收状态报告，状态报告接口可查。具备拉取状态报告接口，该接口允许接入方通过指定条件（如用户手机号码）来查询某条短信是否已成功发送至目标用户手机。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7</w:t>
            </w:r>
            <w:r>
              <w:rPr>
                <w:rFonts w:hint="eastAsia" w:ascii="宋体" w:hAnsi="宋体" w:eastAsia="宋体" w:cs="宋体"/>
                <w:b w:val="0"/>
                <w:bCs w:val="0"/>
                <w:color w:val="000000"/>
                <w:sz w:val="21"/>
                <w:szCs w:val="21"/>
                <w:lang w:eastAsia="zh-CN"/>
              </w:rPr>
              <w:t>.支持长短信；通道不限制每日群发总次数、每月群发总次数、每日最大发送量、每月最大发送量。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8</w:t>
            </w:r>
            <w:r>
              <w:rPr>
                <w:rFonts w:hint="eastAsia" w:ascii="宋体" w:hAnsi="宋体" w:eastAsia="宋体" w:cs="宋体"/>
                <w:b w:val="0"/>
                <w:bCs w:val="0"/>
                <w:color w:val="000000"/>
                <w:sz w:val="21"/>
                <w:szCs w:val="21"/>
                <w:lang w:eastAsia="zh-CN"/>
              </w:rPr>
              <w:t>.通道需要支持取消供应商通道及平台关键字拦截功能；支持在线切换通道，保障在通道资源出现异常时，后续提交的短信不受影响，及时从切换后的通道发出。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9</w:t>
            </w:r>
            <w:r>
              <w:rPr>
                <w:rFonts w:hint="eastAsia" w:ascii="宋体" w:hAnsi="宋体" w:eastAsia="宋体" w:cs="宋体"/>
                <w:b w:val="0"/>
                <w:bCs w:val="0"/>
                <w:color w:val="000000"/>
                <w:sz w:val="21"/>
                <w:szCs w:val="21"/>
                <w:lang w:eastAsia="zh-CN"/>
              </w:rPr>
              <w:t>.支持验证码等短信通道优先发送。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51"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10</w:t>
            </w:r>
            <w:r>
              <w:rPr>
                <w:rFonts w:hint="eastAsia" w:ascii="宋体" w:hAnsi="宋体" w:eastAsia="宋体" w:cs="宋体"/>
                <w:b w:val="0"/>
                <w:bCs w:val="0"/>
                <w:color w:val="000000"/>
                <w:sz w:val="21"/>
                <w:szCs w:val="21"/>
                <w:lang w:val="en-US" w:eastAsia="zh-CN"/>
              </w:rPr>
              <w:t>.</w:t>
            </w:r>
            <w:r>
              <w:rPr>
                <w:rFonts w:hint="eastAsia" w:ascii="宋体" w:hAnsi="宋体" w:eastAsia="宋体" w:cs="宋体"/>
                <w:b w:val="0"/>
                <w:bCs w:val="0"/>
                <w:color w:val="000000"/>
                <w:sz w:val="21"/>
                <w:szCs w:val="21"/>
                <w:lang w:eastAsia="zh-CN"/>
              </w:rPr>
              <w:t>针对下发短信内容提供模板审核服务，确保短信无违规内容，审核结果返回时间在1小时以内</w:t>
            </w:r>
            <w:r>
              <w:rPr>
                <w:rFonts w:hint="eastAsia" w:ascii="宋体" w:hAnsi="宋体" w:cs="宋体"/>
                <w:b w:val="0"/>
                <w:bCs w:val="0"/>
                <w:color w:val="000000"/>
                <w:sz w:val="21"/>
                <w:szCs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11</w:t>
            </w:r>
            <w:r>
              <w:rPr>
                <w:rFonts w:hint="eastAsia" w:ascii="宋体" w:hAnsi="宋体" w:eastAsia="宋体" w:cs="宋体"/>
                <w:b w:val="0"/>
                <w:bCs w:val="0"/>
                <w:color w:val="000000"/>
                <w:sz w:val="21"/>
                <w:szCs w:val="21"/>
                <w:lang w:eastAsia="zh-CN"/>
              </w:rPr>
              <w:t>.通道不添加供应商的企业签名。由供应商的短信通道下发的短信中，不添加供应商的企业签名，供应商转发的短信内容不变，最终发到短信号码上的短信中只包含从行业网关发来的采购人签名。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12</w:t>
            </w:r>
            <w:r>
              <w:rPr>
                <w:rFonts w:hint="eastAsia" w:ascii="宋体" w:hAnsi="宋体" w:eastAsia="宋体" w:cs="宋体"/>
                <w:b w:val="0"/>
                <w:bCs w:val="0"/>
                <w:color w:val="000000"/>
                <w:sz w:val="21"/>
                <w:szCs w:val="21"/>
                <w:lang w:eastAsia="zh-CN"/>
              </w:rPr>
              <w:t>.供应商需保证其短信通道和短信通道能力平台的稳定可靠，按照双方约定的性能及功能要求，提供长期稳定的短信发送服务。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51"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13</w:t>
            </w:r>
            <w:r>
              <w:rPr>
                <w:rFonts w:hint="eastAsia" w:ascii="宋体" w:hAnsi="宋体" w:eastAsia="宋体" w:cs="宋体"/>
                <w:b w:val="0"/>
                <w:bCs w:val="0"/>
                <w:color w:val="000000"/>
                <w:sz w:val="21"/>
                <w:szCs w:val="21"/>
                <w:lang w:eastAsia="zh-CN"/>
              </w:rPr>
              <w:t>..供应商应提供为发送短信而必备的专线或者提供互联网接口，并不因此再收取采购人任何线路使用费、线路调试和测试费用、线路线材设备费用等。</w:t>
            </w:r>
          </w:p>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按短信发送成功计费，失败短信不计费。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1"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14</w:t>
            </w:r>
            <w:r>
              <w:rPr>
                <w:rFonts w:hint="eastAsia" w:ascii="宋体" w:hAnsi="宋体" w:eastAsia="宋体" w:cs="宋体"/>
                <w:b w:val="0"/>
                <w:bCs w:val="0"/>
                <w:color w:val="000000"/>
                <w:sz w:val="21"/>
                <w:szCs w:val="21"/>
                <w:lang w:eastAsia="zh-CN"/>
              </w:rPr>
              <w:t>.供应商应对采购人发送的短信数据进行安全保证，即供应商在未获得采购人许可的前提下，不得以任何方式将短信收发数据提供给第三方。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restart"/>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技术要求</w:t>
            </w: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1</w:t>
            </w:r>
            <w:r>
              <w:rPr>
                <w:rFonts w:hint="eastAsia" w:ascii="宋体" w:hAnsi="宋体" w:cs="宋体"/>
                <w:b w:val="0"/>
                <w:bCs w:val="0"/>
                <w:color w:val="000000"/>
                <w:sz w:val="21"/>
                <w:szCs w:val="21"/>
                <w:lang w:val="en-US" w:eastAsia="zh-CN"/>
              </w:rPr>
              <w:t>5</w:t>
            </w:r>
            <w:r>
              <w:rPr>
                <w:rFonts w:hint="eastAsia" w:ascii="宋体" w:hAnsi="宋体" w:eastAsia="宋体" w:cs="宋体"/>
                <w:b w:val="0"/>
                <w:bCs w:val="0"/>
                <w:color w:val="000000"/>
                <w:sz w:val="21"/>
                <w:szCs w:val="21"/>
                <w:lang w:eastAsia="zh-CN"/>
              </w:rPr>
              <w:t>.短信通道需要与接入方多平台系统服务对接，接口方式应设计合理，对接简单，调试便捷，减少对接方的开发量。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16</w:t>
            </w:r>
            <w:r>
              <w:rPr>
                <w:rFonts w:hint="eastAsia" w:ascii="宋体" w:hAnsi="宋体" w:eastAsia="宋体" w:cs="宋体"/>
                <w:b w:val="0"/>
                <w:bCs w:val="0"/>
                <w:color w:val="000000"/>
                <w:sz w:val="21"/>
                <w:szCs w:val="21"/>
                <w:lang w:eastAsia="zh-CN"/>
              </w:rPr>
              <w:t>.接口需具备严格的身份验证与授权，对调用者实施严格的身份验证、鉴权和来源IP白名单限制。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17</w:t>
            </w:r>
            <w:r>
              <w:rPr>
                <w:rFonts w:hint="eastAsia" w:ascii="宋体" w:hAnsi="宋体" w:eastAsia="宋体" w:cs="宋体"/>
                <w:b w:val="0"/>
                <w:bCs w:val="0"/>
                <w:color w:val="000000"/>
                <w:sz w:val="21"/>
                <w:szCs w:val="21"/>
                <w:lang w:eastAsia="zh-CN"/>
              </w:rPr>
              <w:t>.具备完备的短信内容过滤和审查机制管控机制，防范短信不良信息风险。防止接口被用于短信轰炸、钓鱼攻击，发送虚假广告、诈骗、色情等违法不良信息、垃圾信息等</w:t>
            </w:r>
            <w:r>
              <w:rPr>
                <w:rFonts w:hint="eastAsia" w:ascii="宋体" w:hAnsi="宋体" w:cs="宋体"/>
                <w:b w:val="0"/>
                <w:bCs w:val="0"/>
                <w:color w:val="000000"/>
                <w:sz w:val="21"/>
                <w:szCs w:val="21"/>
                <w:lang w:eastAsia="zh-CN"/>
              </w:rPr>
              <w:t>；</w:t>
            </w:r>
            <w:r>
              <w:rPr>
                <w:rFonts w:hint="eastAsia" w:ascii="宋体" w:hAnsi="宋体" w:eastAsia="宋体" w:cs="宋体"/>
                <w:b w:val="0"/>
                <w:bCs w:val="0"/>
                <w:color w:val="000000"/>
                <w:sz w:val="21"/>
                <w:szCs w:val="21"/>
                <w:lang w:eastAsia="zh-CN"/>
              </w:rPr>
              <w:t>具备完备的日志审计和实时监控、异常行为预警。对接口的使用有态势感知和实时监控，能及时发现异常或攻击行为，能实时分析和预警，对攻击行为能快速发现、快速预警、快速处置</w:t>
            </w:r>
            <w:r>
              <w:rPr>
                <w:rFonts w:hint="eastAsia" w:ascii="宋体" w:hAnsi="宋体" w:cs="宋体"/>
                <w:b w:val="0"/>
                <w:bCs w:val="0"/>
                <w:color w:val="000000"/>
                <w:sz w:val="21"/>
                <w:szCs w:val="21"/>
                <w:lang w:eastAsia="zh-CN"/>
              </w:rPr>
              <w:t>；</w:t>
            </w:r>
            <w:r>
              <w:rPr>
                <w:rFonts w:hint="eastAsia" w:ascii="宋体" w:hAnsi="宋体" w:eastAsia="宋体" w:cs="宋体"/>
                <w:b w:val="0"/>
                <w:bCs w:val="0"/>
                <w:color w:val="000000"/>
                <w:sz w:val="21"/>
                <w:szCs w:val="21"/>
                <w:lang w:eastAsia="zh-CN"/>
              </w:rPr>
              <w:t>具有完备的数据管理规范和制度，完备的数据脱敏、数据加密存储机制，确保接入方的业务短信不被使用、利用、盗用，防范因供应商平台风险导致的接入方业务风险，确保用户隐私和数据存储安全。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35"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18</w:t>
            </w:r>
            <w:r>
              <w:rPr>
                <w:rFonts w:hint="eastAsia" w:ascii="宋体" w:hAnsi="宋体" w:eastAsia="宋体" w:cs="宋体"/>
                <w:b w:val="0"/>
                <w:bCs w:val="0"/>
                <w:color w:val="000000"/>
                <w:sz w:val="21"/>
                <w:szCs w:val="21"/>
                <w:lang w:eastAsia="zh-CN"/>
              </w:rPr>
              <w:t>.接口数据传输加密。短信接口需提供支持https协议，防范数据传输过程中的风险，确保数据通过加密通道传输。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19</w:t>
            </w:r>
            <w:r>
              <w:rPr>
                <w:rFonts w:hint="eastAsia" w:ascii="宋体" w:hAnsi="宋体" w:eastAsia="宋体" w:cs="宋体"/>
                <w:b w:val="0"/>
                <w:bCs w:val="0"/>
                <w:color w:val="000000"/>
                <w:sz w:val="21"/>
                <w:szCs w:val="21"/>
                <w:lang w:eastAsia="zh-CN"/>
              </w:rPr>
              <w:t>.为保障服务安全，短信服务应具备部署在Linux系统、国产操作系统上的部署能力，部署方式具备紧急风险预案。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20</w:t>
            </w:r>
            <w:r>
              <w:rPr>
                <w:rFonts w:hint="eastAsia" w:ascii="宋体" w:hAnsi="宋体" w:eastAsia="宋体" w:cs="宋体"/>
                <w:b w:val="0"/>
                <w:bCs w:val="0"/>
                <w:color w:val="000000"/>
                <w:sz w:val="21"/>
                <w:szCs w:val="21"/>
                <w:lang w:eastAsia="zh-CN"/>
              </w:rPr>
              <w:t>.技术支持人员2人，承诺7×24小时技术咨询服务，必要时可根据采购人要求到现场进行技术支持与技术咨询服务。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21</w:t>
            </w:r>
            <w:r>
              <w:rPr>
                <w:rFonts w:hint="eastAsia" w:ascii="宋体" w:hAnsi="宋体" w:eastAsia="宋体" w:cs="宋体"/>
                <w:b w:val="0"/>
                <w:bCs w:val="0"/>
                <w:color w:val="000000"/>
                <w:sz w:val="21"/>
                <w:szCs w:val="21"/>
                <w:lang w:eastAsia="zh-CN"/>
              </w:rPr>
              <w:t>.可根据采购人需求，调整、优化短信服务流程和接口方式，对短信服务程序进行二次开发，不再向采购人收取额外服务费用。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0"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22</w:t>
            </w:r>
            <w:r>
              <w:rPr>
                <w:rFonts w:hint="eastAsia" w:ascii="宋体" w:hAnsi="宋体" w:eastAsia="宋体" w:cs="宋体"/>
                <w:b w:val="0"/>
                <w:bCs w:val="0"/>
                <w:color w:val="000000"/>
                <w:sz w:val="21"/>
                <w:szCs w:val="21"/>
                <w:lang w:eastAsia="zh-CN"/>
              </w:rPr>
              <w:t>.为保障采购人其他业务系统正常使用短信服务，可为采购人指定的其他业务系统开发商或生产单位进行技术支持服务。包含但不限于：系统对接，接口调试，业务联调等服务。不再向采购人及其他业务系统开发商或生产单位收取额外服务费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2"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restart"/>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运维服务</w:t>
            </w:r>
          </w:p>
          <w:p>
            <w:pPr>
              <w:widowControl/>
              <w:jc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要求</w:t>
            </w:r>
          </w:p>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23</w:t>
            </w:r>
            <w:r>
              <w:rPr>
                <w:rFonts w:hint="eastAsia" w:ascii="宋体" w:hAnsi="宋体" w:eastAsia="宋体" w:cs="宋体"/>
                <w:b w:val="0"/>
                <w:bCs w:val="0"/>
                <w:color w:val="000000"/>
                <w:sz w:val="21"/>
                <w:szCs w:val="21"/>
                <w:lang w:eastAsia="zh-CN"/>
              </w:rPr>
              <w:t>.维护采购人分配的服务器资源，对服务器安全稳定负责。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745"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2</w:t>
            </w:r>
            <w:r>
              <w:rPr>
                <w:rFonts w:hint="eastAsia" w:ascii="宋体" w:hAnsi="宋体" w:cs="宋体"/>
                <w:b w:val="0"/>
                <w:bCs w:val="0"/>
                <w:color w:val="000000"/>
                <w:sz w:val="21"/>
                <w:szCs w:val="21"/>
                <w:lang w:val="en-US" w:eastAsia="zh-CN"/>
              </w:rPr>
              <w:t>4</w:t>
            </w:r>
            <w:r>
              <w:rPr>
                <w:rFonts w:hint="eastAsia" w:ascii="宋体" w:hAnsi="宋体" w:eastAsia="宋体" w:cs="宋体"/>
                <w:b w:val="0"/>
                <w:bCs w:val="0"/>
                <w:color w:val="000000"/>
                <w:sz w:val="21"/>
                <w:szCs w:val="21"/>
                <w:lang w:eastAsia="zh-CN"/>
              </w:rPr>
              <w:t>.供应商需指派专门的联系人，负责采购人短信收发相关问题的协调沟通工作，定期对采购人短信线路、接口进行检查维护，保障短信收发正常，网络稳定；针对各类故障，需有应急预案及相关管理制度，做到7×24故障响应，在故障发生后，及时安排人员配合采购人进行故障排除，恢复工作，响应时间为接到通知10分钟内，一般故障应在1小时内完成修复工作。针对各种突发事件具有可行性高的应急预案，如黑客行为、系统漏洞、病毒查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53"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25</w:t>
            </w:r>
            <w:r>
              <w:rPr>
                <w:rFonts w:hint="eastAsia" w:ascii="宋体" w:hAnsi="宋体" w:eastAsia="宋体" w:cs="宋体"/>
                <w:b w:val="0"/>
                <w:bCs w:val="0"/>
                <w:color w:val="000000"/>
                <w:sz w:val="21"/>
                <w:szCs w:val="21"/>
                <w:lang w:eastAsia="zh-CN"/>
              </w:rPr>
              <w:t>.在供应商平台出现故障无法短时间内修复时，需要按照应急方案以保证采购人业务系统可以快速恢复和运转，避免影响有关部门的业务，造成不良社会影响。重大故障的修复时间不超过24小时。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26</w:t>
            </w:r>
            <w:r>
              <w:rPr>
                <w:rFonts w:hint="eastAsia" w:ascii="宋体" w:hAnsi="宋体" w:eastAsia="宋体" w:cs="宋体"/>
                <w:b w:val="0"/>
                <w:bCs w:val="0"/>
                <w:color w:val="000000"/>
                <w:sz w:val="21"/>
                <w:szCs w:val="21"/>
                <w:lang w:eastAsia="zh-CN"/>
              </w:rPr>
              <w:t>.建立监控报警机制，在短信通道堵塞或服务器异常等情况下能够预警报警。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27</w:t>
            </w:r>
            <w:r>
              <w:rPr>
                <w:rFonts w:hint="eastAsia" w:ascii="宋体" w:hAnsi="宋体" w:eastAsia="宋体" w:cs="宋体"/>
                <w:b w:val="0"/>
                <w:bCs w:val="0"/>
                <w:color w:val="000000"/>
                <w:sz w:val="21"/>
                <w:szCs w:val="21"/>
                <w:lang w:eastAsia="zh-CN"/>
              </w:rPr>
              <w:t>.可根据采购人需求，支撑服务器的新增、调整、负载、迁移等工作，必要时根据采购人要求，可到现场实施服务，不再向采购人额外收取服务费用；在服务期内，供应商应根据采购人工作需要和要求提供相应的线路重点保障服务，重保服务不再收取任何费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28</w:t>
            </w:r>
            <w:r>
              <w:rPr>
                <w:rFonts w:hint="eastAsia" w:ascii="宋体" w:hAnsi="宋体" w:eastAsia="宋体" w:cs="宋体"/>
                <w:b w:val="0"/>
                <w:bCs w:val="0"/>
                <w:color w:val="000000"/>
                <w:sz w:val="21"/>
                <w:szCs w:val="21"/>
                <w:lang w:eastAsia="zh-CN"/>
              </w:rPr>
              <w:t>.根据采购人需要，在关键时期，提供7×24小时驻场监控与运维服务，驻场累计60天，驻场人数不低于2人。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29</w:t>
            </w:r>
            <w:r>
              <w:rPr>
                <w:rFonts w:hint="eastAsia" w:ascii="宋体" w:hAnsi="宋体" w:eastAsia="宋体" w:cs="宋体"/>
                <w:b w:val="0"/>
                <w:bCs w:val="0"/>
                <w:color w:val="000000"/>
                <w:sz w:val="21"/>
                <w:szCs w:val="21"/>
                <w:lang w:eastAsia="zh-CN"/>
              </w:rPr>
              <w:t>.投标人需配合采购人的服务需求变化，对投标人的系统进行相应的改造，确保短信转发业务正常运行，并达到中标人的技术要求。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30</w:t>
            </w:r>
            <w:r>
              <w:rPr>
                <w:rFonts w:hint="eastAsia" w:ascii="宋体" w:hAnsi="宋体" w:eastAsia="宋体" w:cs="宋体"/>
                <w:b w:val="0"/>
                <w:bCs w:val="0"/>
                <w:color w:val="000000"/>
                <w:sz w:val="21"/>
                <w:szCs w:val="21"/>
                <w:lang w:eastAsia="zh-CN"/>
              </w:rPr>
              <w:t>.供应商因国防需要、政府指令、网络维护、网络调整、网络安全等因素，对可能影响到采购人短信收发的，在网络通信资源的调整和通信接口的修改前，应事先向采购人提出相关的调整申请，双方共同协商后进行调整，保证调整内容不影响采购人短信的正常收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96"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31</w:t>
            </w:r>
            <w:r>
              <w:rPr>
                <w:rFonts w:hint="eastAsia" w:ascii="宋体" w:hAnsi="宋体" w:eastAsia="宋体" w:cs="宋体"/>
                <w:b w:val="0"/>
                <w:bCs w:val="0"/>
                <w:color w:val="000000"/>
                <w:sz w:val="21"/>
                <w:szCs w:val="21"/>
                <w:lang w:eastAsia="zh-CN"/>
              </w:rPr>
              <w:t>.供应商平台需保存短信发送记录至少6个月，供应商支持人工协查12个月内记录，客户服务等对短信转发日志的查询要求。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1"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restart"/>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验收要求</w:t>
            </w: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32</w:t>
            </w:r>
            <w:r>
              <w:rPr>
                <w:rFonts w:hint="eastAsia" w:ascii="宋体" w:hAnsi="宋体" w:eastAsia="宋体" w:cs="宋体"/>
                <w:b w:val="0"/>
                <w:bCs w:val="0"/>
                <w:color w:val="000000"/>
                <w:sz w:val="21"/>
                <w:szCs w:val="21"/>
                <w:lang w:eastAsia="zh-CN"/>
              </w:rPr>
              <w:t>.针对短信发送的成功率、速率以及码号等关键指标进行全面测试，并出具包含接口功能验证、性能测试结果、稳定性评估及安全性分析的测试报告或说明文档。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42"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33</w:t>
            </w:r>
            <w:r>
              <w:rPr>
                <w:rFonts w:hint="eastAsia" w:ascii="宋体" w:hAnsi="宋体" w:eastAsia="宋体" w:cs="宋体"/>
                <w:b w:val="0"/>
                <w:bCs w:val="0"/>
                <w:color w:val="000000"/>
                <w:sz w:val="21"/>
                <w:szCs w:val="21"/>
                <w:lang w:eastAsia="zh-CN"/>
              </w:rPr>
              <w:t>.提供短信接口文档、DEMO及SDK资源包。提供针对可能发生的突发事件的详细应急预案。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2"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34</w:t>
            </w:r>
            <w:r>
              <w:rPr>
                <w:rFonts w:hint="eastAsia" w:ascii="宋体" w:hAnsi="宋体" w:eastAsia="宋体" w:cs="宋体"/>
                <w:b w:val="0"/>
                <w:bCs w:val="0"/>
                <w:color w:val="000000"/>
                <w:sz w:val="21"/>
                <w:szCs w:val="21"/>
                <w:lang w:eastAsia="zh-CN"/>
              </w:rPr>
              <w:t>.</w:t>
            </w:r>
            <w:r>
              <w:rPr>
                <w:rFonts w:hint="eastAsia" w:ascii="宋体" w:hAnsi="宋体" w:cs="宋体"/>
                <w:b w:val="0"/>
                <w:bCs w:val="0"/>
                <w:color w:val="000000"/>
                <w:sz w:val="21"/>
                <w:szCs w:val="21"/>
                <w:lang w:val="en-US" w:eastAsia="zh-CN"/>
              </w:rPr>
              <w:t>提供</w:t>
            </w:r>
            <w:r>
              <w:rPr>
                <w:rFonts w:hint="eastAsia" w:ascii="宋体" w:hAnsi="宋体" w:eastAsia="宋体" w:cs="宋体"/>
                <w:b w:val="0"/>
                <w:bCs w:val="0"/>
                <w:color w:val="000000"/>
                <w:sz w:val="21"/>
                <w:szCs w:val="21"/>
                <w:lang w:eastAsia="zh-CN"/>
              </w:rPr>
              <w:t>其他能力证明文件（如资质证明、质量管理制度、安全管理制度等规章性文件）。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8"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35</w:t>
            </w:r>
            <w:r>
              <w:rPr>
                <w:rFonts w:hint="eastAsia" w:ascii="宋体" w:hAnsi="宋体" w:eastAsia="宋体" w:cs="宋体"/>
                <w:b w:val="0"/>
                <w:bCs w:val="0"/>
                <w:color w:val="000000"/>
                <w:sz w:val="21"/>
                <w:szCs w:val="21"/>
                <w:lang w:eastAsia="zh-CN"/>
              </w:rPr>
              <w:t>.供应商按季度提交详细的发送总量、成功率等统计报表，作为验收支撑材料。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0" w:hRule="atLeast"/>
          <w:jc w:val="center"/>
        </w:trPr>
        <w:tc>
          <w:tcPr>
            <w:tcW w:w="1296"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1104"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7800"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36</w:t>
            </w:r>
            <w:r>
              <w:rPr>
                <w:rFonts w:hint="eastAsia" w:ascii="宋体" w:hAnsi="宋体" w:eastAsia="宋体" w:cs="宋体"/>
                <w:b w:val="0"/>
                <w:bCs w:val="0"/>
                <w:color w:val="000000"/>
                <w:sz w:val="21"/>
                <w:szCs w:val="21"/>
                <w:lang w:eastAsia="zh-CN"/>
              </w:rPr>
              <w:t>.结算以采购人系统数据为准。</w:t>
            </w:r>
          </w:p>
        </w:tc>
      </w:tr>
    </w:tbl>
    <w:p>
      <w:pPr>
        <w:rPr>
          <w:rFonts w:ascii="宋体" w:hAnsi="宋体" w:cs="宋体"/>
          <w:b/>
          <w:bCs/>
          <w:sz w:val="24"/>
        </w:rPr>
      </w:pPr>
    </w:p>
    <w:p>
      <w:pPr>
        <w:jc w:val="center"/>
        <w:rPr>
          <w:rFonts w:hint="eastAsia" w:ascii="宋体" w:hAnsi="宋体" w:eastAsia="宋体" w:cs="Times New Roman"/>
          <w:b/>
          <w:bCs/>
          <w:sz w:val="28"/>
          <w:szCs w:val="28"/>
        </w:rPr>
      </w:pPr>
      <w:bookmarkStart w:id="3" w:name="_Toc128884461"/>
      <w:r>
        <w:rPr>
          <w:rFonts w:hint="eastAsia" w:ascii="宋体" w:hAnsi="宋体" w:cs="Times New Roman"/>
          <w:b/>
          <w:bCs/>
          <w:sz w:val="28"/>
          <w:szCs w:val="28"/>
          <w:lang w:val="en-US" w:eastAsia="zh-CN"/>
        </w:rPr>
        <w:t>二</w:t>
      </w:r>
      <w:r>
        <w:rPr>
          <w:rFonts w:hint="eastAsia" w:ascii="宋体" w:hAnsi="宋体" w:eastAsia="宋体" w:cs="Times New Roman"/>
          <w:b/>
          <w:bCs/>
          <w:sz w:val="28"/>
          <w:szCs w:val="28"/>
        </w:rPr>
        <w:t>、实质性条款</w:t>
      </w:r>
    </w:p>
    <w:tbl>
      <w:tblPr>
        <w:tblStyle w:val="28"/>
        <w:tblW w:w="85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705" w:type="dxa"/>
            <w:vAlign w:val="center"/>
          </w:tcPr>
          <w:p>
            <w:r>
              <w:rPr>
                <w:rFonts w:hint="eastAsia" w:ascii="Times New Roman" w:hAnsi="Times New Roman" w:eastAsia="宋体" w:cs="Times New Roman"/>
              </w:rPr>
              <w:t>序号</w:t>
            </w:r>
          </w:p>
        </w:tc>
        <w:tc>
          <w:tcPr>
            <w:tcW w:w="7832" w:type="dxa"/>
            <w:vAlign w:val="center"/>
          </w:tcPr>
          <w:p>
            <w:pPr>
              <w:jc w:val="center"/>
            </w:pPr>
            <w:r>
              <w:rPr>
                <w:rFonts w:hint="eastAsia" w:ascii="Times New Roman" w:hAnsi="Times New Roman" w:eastAsia="宋体" w:cs="Times New Roman"/>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705" w:type="dxa"/>
          </w:tcPr>
          <w:p>
            <w:pPr>
              <w:jc w:val="center"/>
            </w:pPr>
            <w:r>
              <w:rPr>
                <w:rFonts w:hint="eastAsia" w:ascii="Times New Roman" w:hAnsi="Times New Roman" w:eastAsia="宋体" w:cs="Times New Roman"/>
              </w:rPr>
              <w:t>1</w:t>
            </w:r>
          </w:p>
        </w:tc>
        <w:tc>
          <w:tcPr>
            <w:tcW w:w="7832" w:type="dxa"/>
          </w:tcPr>
          <w:p>
            <w:pPr>
              <w:jc w:val="center"/>
              <w:rPr>
                <w:rFonts w:hint="eastAsia" w:eastAsia="宋体"/>
                <w:lang w:eastAsia="zh-CN"/>
              </w:rPr>
            </w:pPr>
            <w:r>
              <w:rPr>
                <w:rFonts w:hint="eastAsia" w:ascii="Times New Roman" w:hAnsi="Times New Roman" w:eastAsia="宋体" w:cs="Times New Roman"/>
              </w:rPr>
              <w:t>本项目招标文件中所有带★号条款</w:t>
            </w:r>
            <w:r>
              <w:rPr>
                <w:rFonts w:hint="eastAsia" w:ascii="Times New Roman" w:hAnsi="Times New Roman" w:eastAsia="宋体" w:cs="Times New Roman"/>
                <w:lang w:val="en-US" w:eastAsia="zh-CN"/>
              </w:rPr>
              <w:t>内容</w:t>
            </w:r>
            <w:bookmarkEnd w:id="3"/>
          </w:p>
        </w:tc>
      </w:tr>
    </w:tbl>
    <w:p>
      <w:pPr>
        <w:rPr>
          <w:rFonts w:hint="eastAsia"/>
          <w:b/>
          <w:color w:val="FF0000"/>
        </w:rPr>
      </w:pPr>
    </w:p>
    <w:p>
      <w:pPr>
        <w:rPr>
          <w:rFonts w:hint="eastAsia" w:ascii="Times New Roman" w:hAnsi="Times New Roman" w:eastAsia="宋体" w:cs="Times New Roman"/>
          <w:b/>
          <w:color w:val="FF0000"/>
        </w:rPr>
      </w:pPr>
      <w:r>
        <w:rPr>
          <w:rFonts w:hint="eastAsia" w:ascii="Times New Roman" w:hAnsi="Times New Roman" w:eastAsia="宋体" w:cs="Times New Roman"/>
          <w:b/>
          <w:color w:val="FF0000"/>
        </w:rPr>
        <w:t>注</w:t>
      </w:r>
      <w:r>
        <w:rPr>
          <w:rFonts w:hint="eastAsia" w:ascii="Times New Roman" w:hAnsi="Times New Roman" w:eastAsia="宋体" w:cs="Times New Roman"/>
        </w:rPr>
        <w:t>：</w:t>
      </w:r>
      <w:r>
        <w:rPr>
          <w:rFonts w:hint="eastAsia" w:ascii="Times New Roman" w:hAnsi="Times New Roman" w:eastAsia="宋体" w:cs="Times New Roman"/>
          <w:b/>
          <w:color w:val="FF0000"/>
        </w:rPr>
        <w:t>上表所列内容为不可负偏离条款，负偏离将视为未实质性满足招标文件要求</w:t>
      </w:r>
      <w:r>
        <w:rPr>
          <w:rFonts w:hint="eastAsia" w:ascii="Times New Roman" w:hAnsi="Times New Roman" w:eastAsia="宋体" w:cs="Times New Roman"/>
          <w:b/>
          <w:color w:val="FF0000"/>
          <w:lang w:eastAsia="zh-CN"/>
        </w:rPr>
        <w:t>，</w:t>
      </w:r>
      <w:r>
        <w:rPr>
          <w:rFonts w:hint="eastAsia" w:ascii="Times New Roman" w:hAnsi="Times New Roman" w:eastAsia="宋体" w:cs="Times New Roman"/>
          <w:b/>
          <w:color w:val="FF0000"/>
        </w:rPr>
        <w:t>作投标无效处理。投标人是否满足</w:t>
      </w:r>
      <w:r>
        <w:rPr>
          <w:rFonts w:hint="eastAsia" w:ascii="Times New Roman" w:hAnsi="Times New Roman" w:eastAsia="宋体" w:cs="Times New Roman"/>
          <w:b/>
          <w:color w:val="FF0000"/>
          <w:lang w:val="en-US" w:eastAsia="zh-CN"/>
        </w:rPr>
        <w:t>以上实质性</w:t>
      </w:r>
      <w:r>
        <w:rPr>
          <w:rFonts w:hint="eastAsia" w:ascii="Times New Roman" w:hAnsi="Times New Roman" w:eastAsia="宋体" w:cs="Times New Roman"/>
          <w:b/>
          <w:color w:val="FF0000"/>
        </w:rPr>
        <w:t>条款要求，</w:t>
      </w:r>
      <w:r>
        <w:rPr>
          <w:rFonts w:hint="eastAsia" w:ascii="Times New Roman" w:hAnsi="Times New Roman" w:eastAsia="宋体" w:cs="Times New Roman"/>
          <w:b/>
          <w:color w:val="FF0000"/>
          <w:lang w:val="en-US" w:eastAsia="zh-CN"/>
        </w:rPr>
        <w:t>以</w:t>
      </w:r>
      <w:r>
        <w:rPr>
          <w:rFonts w:hint="eastAsia" w:ascii="Times New Roman" w:hAnsi="Times New Roman" w:eastAsia="宋体" w:cs="Times New Roman"/>
          <w:b/>
          <w:color w:val="FF0000"/>
          <w:lang w:eastAsia="zh-CN"/>
        </w:rPr>
        <w:t>《</w:t>
      </w:r>
      <w:r>
        <w:rPr>
          <w:rFonts w:hint="eastAsia" w:ascii="Times New Roman" w:hAnsi="Times New Roman" w:eastAsia="宋体" w:cs="Times New Roman"/>
          <w:b/>
          <w:color w:val="FF0000"/>
        </w:rPr>
        <w:t>实质性条款响应情况表</w:t>
      </w:r>
      <w:r>
        <w:rPr>
          <w:rFonts w:hint="eastAsia" w:ascii="Times New Roman" w:hAnsi="Times New Roman" w:eastAsia="宋体" w:cs="Times New Roman"/>
          <w:b/>
          <w:color w:val="FF0000"/>
          <w:lang w:eastAsia="zh-CN"/>
        </w:rPr>
        <w:t>》</w:t>
      </w:r>
      <w:r>
        <w:rPr>
          <w:rFonts w:hint="eastAsia" w:ascii="Times New Roman" w:hAnsi="Times New Roman" w:eastAsia="宋体" w:cs="Times New Roman"/>
          <w:b/>
          <w:color w:val="FF0000"/>
          <w:lang w:val="en-US" w:eastAsia="zh-CN"/>
        </w:rPr>
        <w:t>响应为准。</w:t>
      </w:r>
      <w:r>
        <w:rPr>
          <w:rFonts w:hint="eastAsia" w:ascii="Times New Roman" w:hAnsi="Times New Roman" w:eastAsia="宋体" w:cs="Times New Roman"/>
          <w:b/>
          <w:color w:val="FF0000"/>
        </w:rPr>
        <w:t>如投标人中标后被发现不能满足</w:t>
      </w:r>
      <w:r>
        <w:rPr>
          <w:rFonts w:hint="eastAsia" w:ascii="Times New Roman" w:hAnsi="Times New Roman" w:eastAsia="宋体" w:cs="Times New Roman"/>
          <w:b/>
          <w:color w:val="FF0000"/>
          <w:lang w:val="en-US" w:eastAsia="zh-CN"/>
        </w:rPr>
        <w:t>以上实质性</w:t>
      </w:r>
      <w:r>
        <w:rPr>
          <w:rFonts w:hint="eastAsia" w:ascii="Times New Roman" w:hAnsi="Times New Roman" w:eastAsia="宋体" w:cs="Times New Roman"/>
          <w:b/>
          <w:color w:val="FF0000"/>
        </w:rPr>
        <w:t>条款要求的，采购单位有权拒绝签订合同，一切后果由投标人承担。</w:t>
      </w:r>
    </w:p>
    <w:p>
      <w:pPr>
        <w:pStyle w:val="2"/>
        <w:rPr>
          <w:rFonts w:hint="eastAsia" w:ascii="Times New Roman" w:hAnsi="Times New Roman" w:eastAsia="宋体" w:cs="Times New Roman"/>
          <w:b/>
          <w:color w:val="FF0000"/>
          <w:lang w:val="en-US" w:eastAsia="zh-CN"/>
        </w:rPr>
      </w:pPr>
    </w:p>
    <w:p>
      <w:pPr>
        <w:jc w:val="center"/>
        <w:rPr>
          <w:rFonts w:hint="eastAsia" w:ascii="宋体" w:hAnsi="宋体"/>
          <w:b/>
          <w:bCs/>
          <w:sz w:val="28"/>
          <w:szCs w:val="28"/>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Times New Roman"/>
          <w:b/>
          <w:bCs/>
          <w:sz w:val="28"/>
          <w:szCs w:val="28"/>
          <w:lang w:val="en-US" w:eastAsia="zh-CN"/>
        </w:rPr>
        <w:t>三</w:t>
      </w:r>
      <w:r>
        <w:rPr>
          <w:rFonts w:hint="eastAsia" w:ascii="宋体" w:hAnsi="宋体" w:eastAsia="宋体" w:cs="Times New Roman"/>
          <w:b/>
          <w:bCs/>
          <w:sz w:val="28"/>
          <w:szCs w:val="28"/>
        </w:rPr>
        <w:t>、商务和服务条款要求</w:t>
      </w:r>
    </w:p>
    <w:p>
      <w:pPr>
        <w:jc w:val="center"/>
        <w:rPr>
          <w:rFonts w:hint="eastAsia" w:ascii="宋体" w:hAnsi="宋体" w:eastAsia="宋体" w:cs="Times New Roman"/>
          <w:b/>
          <w:bCs w:val="0"/>
          <w:kern w:val="2"/>
          <w:sz w:val="24"/>
          <w:szCs w:val="24"/>
          <w:lang w:val="en-US" w:eastAsia="zh-CN" w:bidi="ar-SA"/>
        </w:rPr>
      </w:pPr>
      <w:r>
        <w:rPr>
          <w:rFonts w:hint="eastAsia" w:ascii="宋体" w:hAnsi="宋体" w:eastAsia="宋体" w:cs="Times New Roman"/>
          <w:b/>
          <w:bCs w:val="0"/>
          <w:kern w:val="2"/>
          <w:sz w:val="24"/>
          <w:szCs w:val="24"/>
          <w:lang w:val="en-US" w:eastAsia="zh-CN" w:bidi="ar-SA"/>
        </w:rPr>
        <w:t>注：本部分内容为项目正常开展的基本要求，均为★号条款要求</w:t>
      </w:r>
    </w:p>
    <w:tbl>
      <w:tblPr>
        <w:tblStyle w:val="2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9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val="0"/>
                <w:sz w:val="21"/>
                <w:szCs w:val="21"/>
                <w:vertAlign w:val="baseline"/>
                <w:lang w:eastAsia="zh-CN"/>
              </w:rPr>
            </w:pPr>
            <w:r>
              <w:rPr>
                <w:rFonts w:hint="eastAsia" w:ascii="宋体" w:hAnsi="宋体" w:eastAsia="宋体" w:cs="宋体"/>
                <w:b/>
                <w:bCs w:val="0"/>
                <w:sz w:val="21"/>
                <w:szCs w:val="21"/>
                <w:vertAlign w:val="baseline"/>
                <w:lang w:eastAsia="zh-CN"/>
              </w:rPr>
              <w:t>服务项</w:t>
            </w:r>
          </w:p>
        </w:tc>
        <w:tc>
          <w:tcPr>
            <w:tcW w:w="9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val="0"/>
                <w:sz w:val="21"/>
                <w:szCs w:val="21"/>
                <w:vertAlign w:val="baseline"/>
                <w:lang w:eastAsia="zh-CN"/>
              </w:rPr>
            </w:pPr>
            <w:r>
              <w:rPr>
                <w:rFonts w:hint="eastAsia" w:ascii="宋体" w:hAnsi="宋体" w:eastAsia="宋体" w:cs="宋体"/>
                <w:b/>
                <w:bCs w:val="0"/>
                <w:sz w:val="21"/>
                <w:szCs w:val="21"/>
                <w:vertAlign w:val="baseline"/>
                <w:lang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z w:val="21"/>
                <w:szCs w:val="21"/>
                <w:vertAlign w:val="baseline"/>
                <w:lang w:eastAsia="zh-CN"/>
              </w:rPr>
            </w:pPr>
            <w:r>
              <w:rPr>
                <w:rFonts w:hint="eastAsia" w:ascii="宋体" w:hAnsi="宋体" w:eastAsia="宋体" w:cs="宋体"/>
                <w:b/>
                <w:sz w:val="21"/>
                <w:szCs w:val="21"/>
                <w:highlight w:val="none"/>
                <w:lang w:eastAsia="zh-CN"/>
              </w:rPr>
              <w:t>售后服务要求</w:t>
            </w:r>
          </w:p>
        </w:tc>
        <w:tc>
          <w:tcPr>
            <w:tcW w:w="925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sz w:val="21"/>
                <w:szCs w:val="21"/>
                <w:vertAlign w:val="baseline"/>
                <w:lang w:eastAsia="zh-CN"/>
              </w:rPr>
            </w:pPr>
            <w:r>
              <w:rPr>
                <w:rFonts w:hint="eastAsia" w:ascii="宋体" w:hAnsi="宋体" w:cs="宋体"/>
                <w:b w:val="0"/>
                <w:bCs/>
                <w:sz w:val="21"/>
                <w:szCs w:val="21"/>
                <w:vertAlign w:val="baseline"/>
                <w:lang w:eastAsia="zh-CN"/>
              </w:rPr>
              <w:t xml:space="preserve"> 1、投标人应在投标方案中提供详细的服务方案，详细说明服务的范围和程序，以及投标人认为需要补充的其他内容。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sz w:val="21"/>
                <w:szCs w:val="21"/>
                <w:vertAlign w:val="baseline"/>
                <w:lang w:eastAsia="zh-CN"/>
              </w:rPr>
            </w:pPr>
            <w:r>
              <w:rPr>
                <w:rFonts w:hint="eastAsia" w:ascii="宋体" w:hAnsi="宋体" w:cs="宋体"/>
                <w:b w:val="0"/>
                <w:bCs/>
                <w:sz w:val="21"/>
                <w:szCs w:val="21"/>
                <w:vertAlign w:val="baseline"/>
                <w:lang w:eastAsia="zh-CN"/>
              </w:rPr>
              <w:t>2、投标人应根据采购人的需求，对所提供的系统保证全面、有效、及时的技术支持和售后服务。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z w:val="21"/>
                <w:szCs w:val="21"/>
                <w:vertAlign w:val="baseline"/>
                <w:lang w:eastAsia="zh-CN"/>
              </w:rPr>
            </w:pPr>
            <w:r>
              <w:rPr>
                <w:rFonts w:hint="eastAsia" w:ascii="宋体" w:hAnsi="宋体" w:eastAsia="宋体" w:cs="宋体"/>
                <w:b/>
                <w:sz w:val="21"/>
                <w:szCs w:val="21"/>
              </w:rPr>
              <w:t>验收方式</w:t>
            </w:r>
          </w:p>
        </w:tc>
        <w:tc>
          <w:tcPr>
            <w:tcW w:w="925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val="0"/>
                <w:bCs/>
                <w:sz w:val="21"/>
                <w:szCs w:val="21"/>
                <w:vertAlign w:val="baseline"/>
                <w:lang w:eastAsia="zh-CN"/>
              </w:rPr>
            </w:pPr>
            <w:r>
              <w:rPr>
                <w:rFonts w:hint="eastAsia" w:ascii="宋体" w:hAnsi="宋体" w:cs="宋体"/>
                <w:b/>
                <w:bCs w:val="0"/>
                <w:sz w:val="21"/>
                <w:szCs w:val="21"/>
                <w:vertAlign w:val="baseline"/>
                <w:lang w:eastAsia="zh-CN"/>
              </w:rPr>
              <w:t>需在20个日历日内完成整体对接，提供正常服务</w:t>
            </w:r>
            <w:r>
              <w:rPr>
                <w:rFonts w:hint="eastAsia" w:ascii="宋体" w:hAnsi="宋体" w:cs="宋体"/>
                <w:b w:val="0"/>
                <w:bCs/>
                <w:sz w:val="21"/>
                <w:szCs w:val="21"/>
                <w:vertAlign w:val="baseline"/>
                <w:lang w:eastAsia="zh-CN"/>
              </w:rPr>
              <w:t>。严格按照项目建设内容要求提供服务，各阶段交付成果，到最后</w:t>
            </w:r>
            <w:r>
              <w:rPr>
                <w:rFonts w:hint="eastAsia" w:ascii="宋体" w:hAnsi="宋体" w:cs="宋体"/>
                <w:b w:val="0"/>
                <w:bCs/>
                <w:sz w:val="21"/>
                <w:szCs w:val="21"/>
                <w:vertAlign w:val="baseline"/>
                <w:lang w:val="en-US" w:eastAsia="zh-CN"/>
              </w:rPr>
              <w:t>按我院具体要求</w:t>
            </w:r>
            <w:r>
              <w:rPr>
                <w:rFonts w:hint="eastAsia" w:ascii="宋体" w:hAnsi="宋体" w:cs="宋体"/>
                <w:b w:val="0"/>
                <w:bCs/>
                <w:sz w:val="21"/>
                <w:szCs w:val="21"/>
                <w:vertAlign w:val="baseline"/>
                <w:lang w:eastAsia="zh-CN"/>
              </w:rPr>
              <w:t>项目验收完成，以中标供应商所提供的所有服务达到本项目要求为准。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7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cs="宋体"/>
                <w:b w:val="0"/>
                <w:bCs/>
                <w:sz w:val="21"/>
                <w:szCs w:val="21"/>
                <w:vertAlign w:val="baseline"/>
                <w:lang w:eastAsia="zh-CN"/>
              </w:rPr>
            </w:pPr>
            <w:r>
              <w:rPr>
                <w:rFonts w:hint="eastAsia" w:ascii="宋体" w:hAnsi="宋体" w:eastAsia="宋体" w:cs="宋体"/>
                <w:b/>
                <w:sz w:val="21"/>
                <w:szCs w:val="21"/>
                <w:lang w:eastAsia="zh-CN"/>
              </w:rPr>
              <w:t>报价要求</w:t>
            </w:r>
          </w:p>
        </w:tc>
        <w:tc>
          <w:tcPr>
            <w:tcW w:w="925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sz w:val="21"/>
                <w:szCs w:val="21"/>
                <w:vertAlign w:val="baseline"/>
                <w:lang w:eastAsia="zh-CN"/>
              </w:rPr>
            </w:pPr>
            <w:r>
              <w:rPr>
                <w:rFonts w:hint="eastAsia" w:ascii="宋体" w:hAnsi="宋体" w:eastAsia="宋体" w:cs="宋体"/>
                <w:b w:val="0"/>
                <w:bCs/>
                <w:sz w:val="21"/>
                <w:szCs w:val="21"/>
                <w:lang w:eastAsia="zh-CN"/>
              </w:rPr>
              <w:t>本项目预算控制金额为</w:t>
            </w:r>
            <w:r>
              <w:rPr>
                <w:rFonts w:hint="eastAsia" w:ascii="宋体" w:hAnsi="宋体" w:cs="宋体"/>
                <w:b/>
                <w:bCs w:val="0"/>
                <w:sz w:val="21"/>
                <w:szCs w:val="21"/>
                <w:lang w:val="en-US" w:eastAsia="zh-CN"/>
              </w:rPr>
              <w:t>30万</w:t>
            </w:r>
            <w:r>
              <w:rPr>
                <w:rFonts w:hint="eastAsia" w:ascii="宋体" w:hAnsi="宋体" w:eastAsia="宋体" w:cs="宋体"/>
                <w:b/>
                <w:bCs w:val="0"/>
                <w:sz w:val="21"/>
                <w:szCs w:val="21"/>
                <w:lang w:eastAsia="zh-CN"/>
              </w:rPr>
              <w:t>元</w:t>
            </w:r>
            <w:r>
              <w:rPr>
                <w:rFonts w:hint="eastAsia" w:ascii="宋体" w:hAnsi="宋体" w:cs="宋体"/>
                <w:b/>
                <w:bCs w:val="0"/>
                <w:sz w:val="21"/>
                <w:szCs w:val="21"/>
                <w:lang w:eastAsia="zh-CN"/>
              </w:rPr>
              <w:t>，</w:t>
            </w:r>
            <w:r>
              <w:rPr>
                <w:rFonts w:hint="eastAsia" w:ascii="宋体" w:hAnsi="宋体" w:eastAsia="宋体" w:cs="宋体"/>
                <w:b w:val="0"/>
                <w:bCs/>
                <w:sz w:val="21"/>
                <w:szCs w:val="21"/>
                <w:lang w:eastAsia="zh-CN"/>
              </w:rPr>
              <w:t>以</w:t>
            </w:r>
            <w:r>
              <w:rPr>
                <w:rFonts w:hint="eastAsia" w:ascii="宋体" w:hAnsi="宋体" w:eastAsia="宋体" w:cs="宋体"/>
                <w:b/>
                <w:bCs w:val="0"/>
                <w:sz w:val="21"/>
                <w:szCs w:val="21"/>
                <w:lang w:eastAsia="zh-CN"/>
              </w:rPr>
              <w:t>单条短信费用</w:t>
            </w:r>
            <w:r>
              <w:rPr>
                <w:rFonts w:hint="eastAsia" w:ascii="宋体" w:hAnsi="宋体" w:eastAsia="宋体" w:cs="宋体"/>
                <w:b w:val="0"/>
                <w:bCs/>
                <w:sz w:val="21"/>
                <w:szCs w:val="21"/>
                <w:lang w:eastAsia="zh-CN"/>
              </w:rPr>
              <w:t>进行报价，单价</w:t>
            </w:r>
            <w:r>
              <w:rPr>
                <w:rFonts w:hint="eastAsia" w:ascii="宋体" w:hAnsi="宋体" w:eastAsia="宋体" w:cs="宋体"/>
                <w:b/>
                <w:bCs w:val="0"/>
                <w:color w:val="FF0000"/>
                <w:sz w:val="21"/>
                <w:szCs w:val="21"/>
                <w:lang w:eastAsia="zh-CN"/>
              </w:rPr>
              <w:t>不大于0.0335元</w:t>
            </w:r>
            <w:r>
              <w:rPr>
                <w:rFonts w:hint="eastAsia" w:ascii="宋体" w:hAnsi="宋体" w:cs="宋体"/>
                <w:b/>
                <w:bCs w:val="0"/>
                <w:color w:val="FF0000"/>
                <w:sz w:val="21"/>
                <w:szCs w:val="21"/>
                <w:lang w:val="en-US" w:eastAsia="zh-CN"/>
              </w:rPr>
              <w:t>/</w:t>
            </w:r>
            <w:r>
              <w:rPr>
                <w:rFonts w:hint="eastAsia" w:ascii="宋体" w:hAnsi="宋体" w:eastAsia="宋体" w:cs="宋体"/>
                <w:b/>
                <w:bCs w:val="0"/>
                <w:color w:val="FF0000"/>
                <w:sz w:val="21"/>
                <w:szCs w:val="21"/>
                <w:lang w:eastAsia="zh-CN"/>
              </w:rPr>
              <w:t>条</w:t>
            </w:r>
            <w:r>
              <w:rPr>
                <w:rFonts w:hint="eastAsia" w:ascii="宋体" w:hAnsi="宋体" w:cs="宋体"/>
                <w:b/>
                <w:bCs w:val="0"/>
                <w:sz w:val="21"/>
                <w:szCs w:val="21"/>
                <w:lang w:eastAsia="zh-CN"/>
              </w:rPr>
              <w:t>。</w:t>
            </w:r>
            <w:r>
              <w:rPr>
                <w:rFonts w:hint="eastAsia" w:ascii="宋体" w:hAnsi="宋体" w:eastAsia="宋体" w:cs="宋体"/>
                <w:b w:val="0"/>
                <w:bCs/>
                <w:sz w:val="21"/>
                <w:szCs w:val="21"/>
                <w:lang w:eastAsia="zh-CN"/>
              </w:rPr>
              <w:t>双方根据中标单价及实际采购数量按实际发生额结算货款，总结算价格不超过采购限额。标人报价应以人民币报价，包括但不限于管理费用、人员费用、税费、生产材料费用、设施硬件配置费用等与完成本项目服务工作有关的全部费用</w:t>
            </w:r>
            <w:r>
              <w:rPr>
                <w:rFonts w:hint="eastAsia" w:ascii="宋体" w:hAnsi="宋体" w:eastAsia="宋体" w:cs="宋体"/>
                <w:b w:val="0"/>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7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z w:val="21"/>
                <w:szCs w:val="21"/>
                <w:vertAlign w:val="baseline"/>
                <w:lang w:eastAsia="zh-CN"/>
              </w:rPr>
            </w:pPr>
            <w:r>
              <w:rPr>
                <w:rFonts w:hint="eastAsia" w:ascii="宋体" w:hAnsi="宋体" w:eastAsia="宋体" w:cs="宋体"/>
                <w:b/>
                <w:sz w:val="21"/>
                <w:szCs w:val="21"/>
              </w:rPr>
              <w:t>服务期限</w:t>
            </w:r>
          </w:p>
        </w:tc>
        <w:tc>
          <w:tcPr>
            <w:tcW w:w="925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sz w:val="21"/>
                <w:szCs w:val="21"/>
                <w:vertAlign w:val="baseline"/>
                <w:lang w:eastAsia="zh-CN"/>
              </w:rPr>
            </w:pPr>
            <w:r>
              <w:rPr>
                <w:rFonts w:hint="eastAsia" w:ascii="宋体" w:hAnsi="宋体" w:eastAsia="宋体" w:cs="宋体"/>
                <w:b w:val="0"/>
                <w:bCs/>
                <w:sz w:val="21"/>
                <w:szCs w:val="21"/>
                <w:lang w:val="en-US" w:eastAsia="zh-CN"/>
              </w:rPr>
              <w:t>服务期限：不限服务期限，用完预算金额即止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7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21"/>
                <w:szCs w:val="21"/>
              </w:rPr>
            </w:pPr>
            <w:r>
              <w:rPr>
                <w:rFonts w:hint="eastAsia" w:ascii="宋体" w:hAnsi="宋体" w:eastAsia="宋体" w:cs="宋体"/>
                <w:b/>
                <w:sz w:val="21"/>
                <w:szCs w:val="21"/>
              </w:rPr>
              <w:t>付款方式</w:t>
            </w:r>
          </w:p>
        </w:tc>
        <w:tc>
          <w:tcPr>
            <w:tcW w:w="925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sz w:val="21"/>
                <w:szCs w:val="21"/>
                <w:vertAlign w:val="baseline"/>
                <w:lang w:eastAsia="zh-CN"/>
              </w:rPr>
            </w:pPr>
            <w:r>
              <w:rPr>
                <w:rFonts w:hint="eastAsia" w:ascii="宋体" w:hAnsi="宋体" w:eastAsia="宋体" w:cs="宋体"/>
                <w:b w:val="0"/>
                <w:bCs/>
                <w:sz w:val="21"/>
                <w:szCs w:val="21"/>
                <w:vertAlign w:val="baseline"/>
                <w:lang w:eastAsia="zh-CN"/>
              </w:rPr>
              <w:t>合同签订后，采购人收到中标人付款发票和付款所需资料之日起15个工作日内，采购人向中标人支付项目合同总价款100%，实际付款时间以财务部门执行时间为准。</w:t>
            </w:r>
          </w:p>
        </w:tc>
      </w:tr>
      <w:bookmarkEnd w:id="2"/>
    </w:tbl>
    <w:p>
      <w:pPr>
        <w:jc w:val="both"/>
      </w:pPr>
      <w:r>
        <w:rPr>
          <w:rFonts w:hint="eastAsia" w:ascii="宋体" w:hAnsi="宋体" w:cs="宋体"/>
          <w:sz w:val="24"/>
        </w:rPr>
        <w:br w:type="page"/>
      </w:r>
    </w:p>
    <w:p>
      <w:pPr>
        <w:keepNext w:val="0"/>
        <w:keepLines w:val="0"/>
        <w:pageBreakBefore w:val="0"/>
        <w:widowControl w:val="0"/>
        <w:kinsoku/>
        <w:overflowPunct/>
        <w:topLinePunct w:val="0"/>
        <w:bidi w:val="0"/>
        <w:ind w:left="-1"/>
        <w:rPr>
          <w:rFonts w:ascii="宋体" w:hAnsi="宋体" w:cs="Arial"/>
          <w:b/>
          <w:color w:val="FF0000"/>
          <w:kern w:val="0"/>
          <w:sz w:val="28"/>
          <w:szCs w:val="28"/>
        </w:rPr>
      </w:pPr>
      <w:r>
        <w:rPr>
          <w:rFonts w:hint="eastAsia" w:ascii="宋体" w:hAnsi="宋体" w:cs="Arial"/>
          <w:b/>
          <w:color w:val="FF0000"/>
          <w:kern w:val="0"/>
          <w:sz w:val="28"/>
          <w:szCs w:val="28"/>
        </w:rPr>
        <w:t>附：投标书模板（</w:t>
      </w:r>
      <w:r>
        <w:rPr>
          <w:rFonts w:cs="Arial"/>
          <w:b/>
          <w:bCs/>
          <w:color w:val="FF0000"/>
          <w:kern w:val="0"/>
          <w:sz w:val="28"/>
          <w:szCs w:val="28"/>
        </w:rPr>
        <w:t>请双面打印，</w:t>
      </w:r>
      <w:r>
        <w:rPr>
          <w:rFonts w:hint="eastAsia" w:ascii="宋体" w:hAnsi="宋体" w:cs="Arial"/>
          <w:b/>
          <w:color w:val="FF0000"/>
          <w:kern w:val="0"/>
          <w:sz w:val="28"/>
          <w:szCs w:val="28"/>
        </w:rPr>
        <w:t>打印时删除此行）</w:t>
      </w:r>
    </w:p>
    <w:p>
      <w:pPr>
        <w:keepNext w:val="0"/>
        <w:keepLines w:val="0"/>
        <w:pageBreakBefore w:val="0"/>
        <w:widowControl w:val="0"/>
        <w:kinsoku/>
        <w:overflowPunct/>
        <w:topLinePunct w:val="0"/>
        <w:bidi w:val="0"/>
        <w:spacing w:after="60"/>
        <w:ind w:left="-1"/>
        <w:rPr>
          <w:rFonts w:ascii="宋体" w:hAnsi="宋体"/>
          <w:b/>
          <w:bCs/>
          <w:sz w:val="24"/>
        </w:rPr>
      </w:pPr>
      <w:r>
        <w:rPr>
          <w:rFonts w:hint="eastAsia" w:ascii="宋体" w:hAnsi="宋体"/>
          <w:b/>
          <w:bCs/>
          <w:sz w:val="24"/>
        </w:rPr>
        <mc:AlternateContent>
          <mc:Choice Requires="wps">
            <w:drawing>
              <wp:anchor distT="0" distB="0" distL="114300" distR="114300" simplePos="0" relativeHeight="251659264" behindDoc="0" locked="0" layoutInCell="1" allowOverlap="1">
                <wp:simplePos x="0" y="0"/>
                <wp:positionH relativeFrom="column">
                  <wp:posOffset>4460875</wp:posOffset>
                </wp:positionH>
                <wp:positionV relativeFrom="paragraph">
                  <wp:posOffset>191135</wp:posOffset>
                </wp:positionV>
                <wp:extent cx="648970" cy="297180"/>
                <wp:effectExtent l="0" t="0" r="17780" b="26670"/>
                <wp:wrapNone/>
                <wp:docPr id="1" name="文本框 1"/>
                <wp:cNvGraphicFramePr/>
                <a:graphic xmlns:a="http://schemas.openxmlformats.org/drawingml/2006/main">
                  <a:graphicData uri="http://schemas.microsoft.com/office/word/2010/wordprocessingShape">
                    <wps:wsp>
                      <wps:cNvSpPr txBox="1"/>
                      <wps:spPr>
                        <a:xfrm>
                          <a:off x="0" y="0"/>
                          <a:ext cx="64897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b/>
                                <w:sz w:val="24"/>
                              </w:rPr>
                            </w:pPr>
                            <w:r>
                              <w:rPr>
                                <w:rFonts w:hint="eastAsia" w:ascii="宋体" w:hAnsi="宋体"/>
                                <w:b/>
                                <w:sz w:val="24"/>
                              </w:rPr>
                              <w:t>正本</w:t>
                            </w:r>
                          </w:p>
                        </w:txbxContent>
                      </wps:txbx>
                      <wps:bodyPr upright="1"/>
                    </wps:wsp>
                  </a:graphicData>
                </a:graphic>
              </wp:anchor>
            </w:drawing>
          </mc:Choice>
          <mc:Fallback>
            <w:pict>
              <v:shape id="_x0000_s1026" o:spid="_x0000_s1026" o:spt="202" type="#_x0000_t202" style="position:absolute;left:0pt;margin-left:351.25pt;margin-top:15.05pt;height:23.4pt;width:51.1pt;z-index:251659264;mso-width-relative:page;mso-height-relative:page;" fillcolor="#FFFFFF" filled="t" stroked="t" coordsize="21600,21600" o:gfxdata="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0vYv22QAAAAkBAAAPAAAAAAAAAAEAIAAAACIAAABkcnMvZG93bnJldi54bWxQSwECFAAU&#10;AAAACACHTuJAbe2jf/ABAADnAwAADgAAAAAAAAABACAAAAAoAQAAZHJzL2Uyb0RvYy54bWxQSwUG&#10;AAAAAAYABgBZAQAAigUAAAAA&#10;">
                <v:fill on="t" focussize="0,0"/>
                <v:stroke color="#000000" joinstyle="miter"/>
                <v:imagedata o:title=""/>
                <o:lock v:ext="edit" aspectratio="f"/>
                <v:textbox>
                  <w:txbxContent>
                    <w:p>
                      <w:pPr>
                        <w:jc w:val="center"/>
                        <w:rPr>
                          <w:rFonts w:ascii="宋体" w:hAnsi="宋体"/>
                          <w:b/>
                          <w:sz w:val="24"/>
                        </w:rPr>
                      </w:pPr>
                      <w:r>
                        <w:rPr>
                          <w:rFonts w:hint="eastAsia" w:ascii="宋体" w:hAnsi="宋体"/>
                          <w:b/>
                          <w:sz w:val="24"/>
                        </w:rPr>
                        <w:t>正本</w:t>
                      </w:r>
                    </w:p>
                  </w:txbxContent>
                </v:textbox>
              </v:shape>
            </w:pict>
          </mc:Fallback>
        </mc:AlternateContent>
      </w:r>
    </w:p>
    <w:p>
      <w:pPr>
        <w:pStyle w:val="11"/>
        <w:keepNext w:val="0"/>
        <w:keepLines w:val="0"/>
        <w:pageBreakBefore w:val="0"/>
        <w:widowControl w:val="0"/>
        <w:kinsoku/>
        <w:overflowPunct/>
        <w:topLinePunct w:val="0"/>
        <w:bidi w:val="0"/>
        <w:ind w:left="-1"/>
      </w:pPr>
    </w:p>
    <w:p>
      <w:pPr>
        <w:keepNext w:val="0"/>
        <w:keepLines w:val="0"/>
        <w:pageBreakBefore w:val="0"/>
        <w:widowControl w:val="0"/>
        <w:kinsoku/>
        <w:overflowPunct/>
        <w:topLinePunct w:val="0"/>
        <w:bidi w:val="0"/>
        <w:spacing w:line="360" w:lineRule="atLeast"/>
        <w:ind w:left="-1"/>
        <w:jc w:val="center"/>
        <w:rPr>
          <w:rFonts w:ascii="宋体" w:hAnsi="宋体"/>
          <w:b/>
          <w:bCs/>
          <w:sz w:val="84"/>
          <w:szCs w:val="84"/>
        </w:rPr>
      </w:pPr>
    </w:p>
    <w:p>
      <w:pPr>
        <w:keepNext w:val="0"/>
        <w:keepLines w:val="0"/>
        <w:pageBreakBefore w:val="0"/>
        <w:widowControl w:val="0"/>
        <w:kinsoku/>
        <w:overflowPunct/>
        <w:topLinePunct w:val="0"/>
        <w:bidi w:val="0"/>
        <w:spacing w:line="360" w:lineRule="atLeast"/>
        <w:ind w:left="-1"/>
        <w:jc w:val="center"/>
        <w:rPr>
          <w:rFonts w:ascii="宋体" w:hAnsi="宋体"/>
          <w:b/>
          <w:bCs/>
          <w:sz w:val="84"/>
          <w:szCs w:val="84"/>
        </w:rPr>
      </w:pPr>
      <w:r>
        <w:rPr>
          <w:rFonts w:hint="eastAsia" w:ascii="宋体" w:hAnsi="宋体"/>
          <w:b/>
          <w:bCs/>
          <w:sz w:val="84"/>
          <w:szCs w:val="84"/>
        </w:rPr>
        <w:t>投标文件</w:t>
      </w:r>
    </w:p>
    <w:p>
      <w:pPr>
        <w:pStyle w:val="11"/>
        <w:keepNext w:val="0"/>
        <w:keepLines w:val="0"/>
        <w:pageBreakBefore w:val="0"/>
        <w:widowControl w:val="0"/>
        <w:kinsoku/>
        <w:overflowPunct/>
        <w:topLinePunct w:val="0"/>
        <w:bidi w:val="0"/>
        <w:ind w:firstLine="0"/>
      </w:pPr>
    </w:p>
    <w:p>
      <w:pPr>
        <w:keepNext w:val="0"/>
        <w:keepLines w:val="0"/>
        <w:pageBreakBefore w:val="0"/>
        <w:widowControl w:val="0"/>
        <w:kinsoku/>
        <w:overflowPunct/>
        <w:topLinePunct w:val="0"/>
        <w:bidi w:val="0"/>
        <w:ind w:left="-1"/>
      </w:pPr>
    </w:p>
    <w:p>
      <w:pPr>
        <w:keepNext w:val="0"/>
        <w:keepLines w:val="0"/>
        <w:pageBreakBefore w:val="0"/>
        <w:widowControl w:val="0"/>
        <w:kinsoku/>
        <w:overflowPunct/>
        <w:topLinePunct w:val="0"/>
        <w:bidi w:val="0"/>
        <w:ind w:left="-1"/>
      </w:pPr>
    </w:p>
    <w:p>
      <w:pPr>
        <w:pStyle w:val="30"/>
        <w:keepNext w:val="0"/>
        <w:keepLines w:val="0"/>
        <w:pageBreakBefore w:val="0"/>
        <w:widowControl w:val="0"/>
        <w:kinsoku/>
        <w:overflowPunct/>
        <w:topLinePunct w:val="0"/>
        <w:bidi w:val="0"/>
        <w:ind w:left="-1"/>
        <w:rPr>
          <w:rFonts w:ascii="宋体" w:hAnsi="宋体"/>
          <w:b/>
          <w:color w:val="FF0000"/>
        </w:rPr>
      </w:pPr>
    </w:p>
    <w:tbl>
      <w:tblPr>
        <w:tblStyle w:val="28"/>
        <w:tblpPr w:leftFromText="180" w:rightFromText="180" w:vertAnchor="text" w:horzAnchor="page" w:tblpX="1720" w:tblpY="132"/>
        <w:tblOverlap w:val="never"/>
        <w:tblW w:w="8100" w:type="dxa"/>
        <w:tblInd w:w="0" w:type="dxa"/>
        <w:tblLayout w:type="fixed"/>
        <w:tblCellMar>
          <w:top w:w="0" w:type="dxa"/>
          <w:left w:w="108" w:type="dxa"/>
          <w:bottom w:w="0" w:type="dxa"/>
          <w:right w:w="108" w:type="dxa"/>
        </w:tblCellMar>
      </w:tblPr>
      <w:tblGrid>
        <w:gridCol w:w="1921"/>
        <w:gridCol w:w="6179"/>
      </w:tblGrid>
      <w:tr>
        <w:tblPrEx>
          <w:tblLayout w:type="fixed"/>
          <w:tblCellMar>
            <w:top w:w="0" w:type="dxa"/>
            <w:left w:w="108" w:type="dxa"/>
            <w:bottom w:w="0" w:type="dxa"/>
            <w:right w:w="108" w:type="dxa"/>
          </w:tblCellMar>
        </w:tblPrEx>
        <w:tc>
          <w:tcPr>
            <w:tcW w:w="1921" w:type="dxa"/>
            <w:tcBorders>
              <w:tl2br w:val="nil"/>
              <w:tr2bl w:val="nil"/>
            </w:tcBorders>
          </w:tcPr>
          <w:p>
            <w:pPr>
              <w:pStyle w:val="31"/>
              <w:keepNext w:val="0"/>
              <w:keepLines w:val="0"/>
              <w:pageBreakBefore w:val="0"/>
              <w:widowControl w:val="0"/>
              <w:kinsoku/>
              <w:overflowPunct/>
              <w:topLinePunct w:val="0"/>
              <w:bidi w:val="0"/>
              <w:ind w:firstLine="0" w:firstLineChars="0"/>
              <w:jc w:val="center"/>
              <w:rPr>
                <w:rFonts w:ascii="宋体" w:hAnsi="宋体" w:cs="宋体"/>
                <w:b/>
                <w:bCs/>
                <w:sz w:val="32"/>
                <w:szCs w:val="32"/>
              </w:rPr>
            </w:pPr>
            <w:r>
              <w:rPr>
                <w:rFonts w:hint="eastAsia" w:ascii="宋体" w:hAnsi="宋体" w:cs="宋体"/>
                <w:b/>
                <w:bCs/>
                <w:sz w:val="32"/>
                <w:szCs w:val="32"/>
              </w:rPr>
              <w:t>项目名称：</w:t>
            </w:r>
          </w:p>
        </w:tc>
        <w:tc>
          <w:tcPr>
            <w:tcW w:w="6179" w:type="dxa"/>
            <w:tcBorders>
              <w:top w:val="nil"/>
              <w:bottom w:val="single" w:color="auto" w:sz="4" w:space="0"/>
            </w:tcBorders>
          </w:tcPr>
          <w:p>
            <w:pPr>
              <w:keepNext w:val="0"/>
              <w:keepLines w:val="0"/>
              <w:pageBreakBefore w:val="0"/>
              <w:widowControl w:val="0"/>
              <w:tabs>
                <w:tab w:val="left" w:leader="underscore" w:pos="7140"/>
              </w:tabs>
              <w:kinsoku/>
              <w:overflowPunct/>
              <w:topLinePunct w:val="0"/>
              <w:bidi w:val="0"/>
              <w:ind w:left="-1"/>
              <w:jc w:val="center"/>
              <w:rPr>
                <w:rStyle w:val="35"/>
                <w:color w:val="000000"/>
                <w:kern w:val="0"/>
                <w:szCs w:val="28"/>
              </w:rPr>
            </w:pPr>
          </w:p>
        </w:tc>
      </w:tr>
      <w:tr>
        <w:tblPrEx>
          <w:tblLayout w:type="fixed"/>
          <w:tblCellMar>
            <w:top w:w="0" w:type="dxa"/>
            <w:left w:w="108" w:type="dxa"/>
            <w:bottom w:w="0" w:type="dxa"/>
            <w:right w:w="108" w:type="dxa"/>
          </w:tblCellMar>
        </w:tblPrEx>
        <w:tc>
          <w:tcPr>
            <w:tcW w:w="1921" w:type="dxa"/>
            <w:tcBorders>
              <w:tl2br w:val="nil"/>
              <w:tr2bl w:val="nil"/>
            </w:tcBorders>
          </w:tcPr>
          <w:p>
            <w:pPr>
              <w:pStyle w:val="31"/>
              <w:keepNext w:val="0"/>
              <w:keepLines w:val="0"/>
              <w:pageBreakBefore w:val="0"/>
              <w:widowControl w:val="0"/>
              <w:kinsoku/>
              <w:overflowPunct/>
              <w:topLinePunct w:val="0"/>
              <w:bidi w:val="0"/>
              <w:ind w:firstLine="0" w:firstLineChars="0"/>
              <w:jc w:val="center"/>
              <w:rPr>
                <w:rFonts w:ascii="宋体" w:hAnsi="宋体" w:cs="宋体"/>
                <w:b/>
                <w:bCs/>
                <w:sz w:val="32"/>
                <w:szCs w:val="32"/>
              </w:rPr>
            </w:pPr>
            <w:bookmarkStart w:id="4" w:name="_Toc19016"/>
            <w:bookmarkStart w:id="5" w:name="_Toc9629"/>
            <w:bookmarkStart w:id="6" w:name="_Toc15234"/>
            <w:bookmarkStart w:id="7" w:name="_Toc7039"/>
            <w:bookmarkStart w:id="8" w:name="_Toc6152"/>
            <w:bookmarkStart w:id="9" w:name="_Toc28367"/>
            <w:r>
              <w:rPr>
                <w:rFonts w:hint="eastAsia" w:ascii="宋体" w:hAnsi="宋体" w:cs="宋体"/>
                <w:b/>
                <w:bCs/>
                <w:sz w:val="32"/>
                <w:szCs w:val="32"/>
              </w:rPr>
              <w:t>项目编号：</w:t>
            </w:r>
          </w:p>
        </w:tc>
        <w:tc>
          <w:tcPr>
            <w:tcW w:w="6179" w:type="dxa"/>
            <w:tcBorders>
              <w:top w:val="single" w:color="auto" w:sz="4" w:space="0"/>
              <w:bottom w:val="single" w:color="auto" w:sz="4" w:space="0"/>
            </w:tcBorders>
          </w:tcPr>
          <w:p>
            <w:pPr>
              <w:pStyle w:val="31"/>
              <w:keepNext w:val="0"/>
              <w:keepLines w:val="0"/>
              <w:pageBreakBefore w:val="0"/>
              <w:widowControl w:val="0"/>
              <w:kinsoku/>
              <w:overflowPunct/>
              <w:topLinePunct w:val="0"/>
              <w:bidi w:val="0"/>
              <w:ind w:left="-1" w:firstLine="0" w:firstLineChars="0"/>
              <w:jc w:val="center"/>
              <w:rPr>
                <w:rStyle w:val="35"/>
                <w:rFonts w:eastAsia="宋体" w:cs="宋体"/>
                <w:color w:val="000000"/>
                <w:spacing w:val="800"/>
                <w:kern w:val="0"/>
                <w:sz w:val="32"/>
                <w:szCs w:val="32"/>
              </w:rPr>
            </w:pPr>
          </w:p>
        </w:tc>
      </w:tr>
      <w:tr>
        <w:tblPrEx>
          <w:tblLayout w:type="fixed"/>
          <w:tblCellMar>
            <w:top w:w="0" w:type="dxa"/>
            <w:left w:w="108" w:type="dxa"/>
            <w:bottom w:w="0" w:type="dxa"/>
            <w:right w:w="108" w:type="dxa"/>
          </w:tblCellMar>
        </w:tblPrEx>
        <w:tc>
          <w:tcPr>
            <w:tcW w:w="1921" w:type="dxa"/>
            <w:tcBorders>
              <w:tl2br w:val="nil"/>
              <w:tr2bl w:val="nil"/>
            </w:tcBorders>
          </w:tcPr>
          <w:p>
            <w:pPr>
              <w:pStyle w:val="31"/>
              <w:keepNext w:val="0"/>
              <w:keepLines w:val="0"/>
              <w:pageBreakBefore w:val="0"/>
              <w:widowControl w:val="0"/>
              <w:kinsoku/>
              <w:overflowPunct/>
              <w:topLinePunct w:val="0"/>
              <w:bidi w:val="0"/>
              <w:ind w:firstLine="0" w:firstLineChars="0"/>
              <w:jc w:val="center"/>
              <w:rPr>
                <w:rFonts w:ascii="宋体" w:hAnsi="宋体" w:cs="宋体"/>
                <w:b/>
                <w:bCs/>
                <w:sz w:val="32"/>
                <w:szCs w:val="32"/>
              </w:rPr>
            </w:pPr>
            <w:r>
              <w:rPr>
                <w:rFonts w:hint="eastAsia" w:ascii="宋体" w:hAnsi="宋体" w:cs="宋体"/>
                <w:b/>
                <w:bCs/>
                <w:sz w:val="32"/>
                <w:szCs w:val="32"/>
              </w:rPr>
              <w:t>投标单位：</w:t>
            </w:r>
            <w:bookmarkEnd w:id="4"/>
            <w:bookmarkEnd w:id="5"/>
            <w:bookmarkEnd w:id="6"/>
            <w:bookmarkEnd w:id="7"/>
            <w:bookmarkEnd w:id="8"/>
            <w:bookmarkEnd w:id="9"/>
          </w:p>
        </w:tc>
        <w:tc>
          <w:tcPr>
            <w:tcW w:w="6179" w:type="dxa"/>
            <w:tcBorders>
              <w:top w:val="single" w:color="auto" w:sz="4" w:space="0"/>
              <w:bottom w:val="single" w:color="auto" w:sz="4" w:space="0"/>
            </w:tcBorders>
          </w:tcPr>
          <w:p>
            <w:pPr>
              <w:pStyle w:val="3"/>
              <w:keepNext w:val="0"/>
              <w:keepLines w:val="0"/>
              <w:pageBreakBefore w:val="0"/>
              <w:widowControl w:val="0"/>
              <w:tabs>
                <w:tab w:val="left" w:leader="underscore" w:pos="7140"/>
              </w:tabs>
              <w:kinsoku/>
              <w:overflowPunct/>
              <w:topLinePunct w:val="0"/>
              <w:bidi w:val="0"/>
              <w:spacing w:before="0" w:after="0" w:line="240" w:lineRule="auto"/>
              <w:ind w:left="-1"/>
              <w:jc w:val="center"/>
              <w:rPr>
                <w:rStyle w:val="35"/>
                <w:b/>
                <w:bCs/>
                <w:color w:val="000000"/>
                <w:kern w:val="0"/>
                <w:szCs w:val="28"/>
              </w:rPr>
            </w:pPr>
          </w:p>
        </w:tc>
      </w:tr>
      <w:tr>
        <w:tblPrEx>
          <w:tblLayout w:type="fixed"/>
          <w:tblCellMar>
            <w:top w:w="0" w:type="dxa"/>
            <w:left w:w="108" w:type="dxa"/>
            <w:bottom w:w="0" w:type="dxa"/>
            <w:right w:w="108" w:type="dxa"/>
          </w:tblCellMar>
        </w:tblPrEx>
        <w:tc>
          <w:tcPr>
            <w:tcW w:w="1921" w:type="dxa"/>
            <w:tcBorders>
              <w:tl2br w:val="nil"/>
              <w:tr2bl w:val="nil"/>
            </w:tcBorders>
          </w:tcPr>
          <w:p>
            <w:pPr>
              <w:pStyle w:val="31"/>
              <w:keepNext w:val="0"/>
              <w:keepLines w:val="0"/>
              <w:pageBreakBefore w:val="0"/>
              <w:widowControl w:val="0"/>
              <w:kinsoku/>
              <w:overflowPunct/>
              <w:topLinePunct w:val="0"/>
              <w:bidi w:val="0"/>
              <w:ind w:firstLine="0" w:firstLineChars="0"/>
              <w:jc w:val="center"/>
              <w:rPr>
                <w:rFonts w:ascii="宋体" w:hAnsi="宋体" w:cs="宋体"/>
                <w:b/>
                <w:bCs/>
                <w:sz w:val="32"/>
                <w:szCs w:val="32"/>
              </w:rPr>
            </w:pPr>
            <w:r>
              <w:rPr>
                <w:rFonts w:hint="eastAsia" w:ascii="宋体" w:hAnsi="宋体" w:cs="宋体"/>
                <w:b/>
                <w:bCs/>
                <w:sz w:val="32"/>
                <w:szCs w:val="32"/>
              </w:rPr>
              <w:t>联 系 人：</w:t>
            </w:r>
          </w:p>
        </w:tc>
        <w:tc>
          <w:tcPr>
            <w:tcW w:w="6179" w:type="dxa"/>
            <w:tcBorders>
              <w:top w:val="single" w:color="auto" w:sz="4" w:space="0"/>
              <w:bottom w:val="single" w:color="auto" w:sz="4" w:space="0"/>
            </w:tcBorders>
          </w:tcPr>
          <w:p>
            <w:pPr>
              <w:keepNext w:val="0"/>
              <w:keepLines w:val="0"/>
              <w:pageBreakBefore w:val="0"/>
              <w:widowControl w:val="0"/>
              <w:tabs>
                <w:tab w:val="left" w:leader="underscore" w:pos="7140"/>
              </w:tabs>
              <w:kinsoku/>
              <w:overflowPunct/>
              <w:topLinePunct w:val="0"/>
              <w:bidi w:val="0"/>
              <w:ind w:left="-1"/>
              <w:jc w:val="center"/>
              <w:rPr>
                <w:rStyle w:val="35"/>
                <w:color w:val="000000"/>
                <w:spacing w:val="70"/>
                <w:kern w:val="0"/>
                <w:szCs w:val="28"/>
              </w:rPr>
            </w:pPr>
          </w:p>
        </w:tc>
      </w:tr>
      <w:tr>
        <w:tblPrEx>
          <w:tblLayout w:type="fixed"/>
          <w:tblCellMar>
            <w:top w:w="0" w:type="dxa"/>
            <w:left w:w="108" w:type="dxa"/>
            <w:bottom w:w="0" w:type="dxa"/>
            <w:right w:w="108" w:type="dxa"/>
          </w:tblCellMar>
        </w:tblPrEx>
        <w:trPr>
          <w:trHeight w:val="649" w:hRule="atLeast"/>
        </w:trPr>
        <w:tc>
          <w:tcPr>
            <w:tcW w:w="1921" w:type="dxa"/>
            <w:tcBorders>
              <w:tl2br w:val="nil"/>
              <w:tr2bl w:val="nil"/>
            </w:tcBorders>
          </w:tcPr>
          <w:p>
            <w:pPr>
              <w:pStyle w:val="31"/>
              <w:keepNext w:val="0"/>
              <w:keepLines w:val="0"/>
              <w:pageBreakBefore w:val="0"/>
              <w:widowControl w:val="0"/>
              <w:kinsoku/>
              <w:overflowPunct/>
              <w:topLinePunct w:val="0"/>
              <w:bidi w:val="0"/>
              <w:ind w:firstLine="0" w:firstLineChars="0"/>
              <w:jc w:val="center"/>
              <w:rPr>
                <w:rFonts w:ascii="宋体" w:hAnsi="宋体" w:cs="宋体"/>
                <w:b/>
                <w:bCs/>
                <w:sz w:val="32"/>
                <w:szCs w:val="32"/>
              </w:rPr>
            </w:pPr>
            <w:bookmarkStart w:id="10" w:name="_Toc27697"/>
            <w:bookmarkStart w:id="11" w:name="_Toc24170"/>
            <w:bookmarkStart w:id="12" w:name="_Toc18489"/>
            <w:bookmarkStart w:id="13" w:name="_Toc31328"/>
            <w:bookmarkStart w:id="14" w:name="_Toc8777"/>
            <w:bookmarkStart w:id="15" w:name="_Toc18078"/>
            <w:r>
              <w:rPr>
                <w:rFonts w:hint="eastAsia" w:ascii="宋体" w:hAnsi="宋体" w:cs="宋体"/>
                <w:b/>
                <w:bCs/>
                <w:sz w:val="32"/>
                <w:szCs w:val="32"/>
              </w:rPr>
              <w:t>联系电话：</w:t>
            </w:r>
            <w:bookmarkEnd w:id="10"/>
            <w:bookmarkEnd w:id="11"/>
            <w:bookmarkEnd w:id="12"/>
            <w:bookmarkEnd w:id="13"/>
            <w:bookmarkEnd w:id="14"/>
            <w:bookmarkEnd w:id="15"/>
          </w:p>
        </w:tc>
        <w:tc>
          <w:tcPr>
            <w:tcW w:w="6179" w:type="dxa"/>
            <w:tcBorders>
              <w:top w:val="single" w:color="auto" w:sz="4" w:space="0"/>
              <w:bottom w:val="single" w:color="auto" w:sz="4" w:space="0"/>
            </w:tcBorders>
          </w:tcPr>
          <w:p>
            <w:pPr>
              <w:pStyle w:val="3"/>
              <w:keepNext w:val="0"/>
              <w:keepLines w:val="0"/>
              <w:pageBreakBefore w:val="0"/>
              <w:widowControl w:val="0"/>
              <w:tabs>
                <w:tab w:val="left" w:leader="underscore" w:pos="7140"/>
              </w:tabs>
              <w:kinsoku/>
              <w:overflowPunct/>
              <w:topLinePunct w:val="0"/>
              <w:bidi w:val="0"/>
              <w:spacing w:before="0" w:after="0" w:line="240" w:lineRule="auto"/>
              <w:ind w:left="-1" w:right="-195" w:rightChars="-93"/>
              <w:jc w:val="center"/>
              <w:rPr>
                <w:rStyle w:val="35"/>
                <w:b/>
                <w:bCs/>
                <w:color w:val="000000"/>
                <w:spacing w:val="840"/>
                <w:kern w:val="0"/>
                <w:szCs w:val="28"/>
              </w:rPr>
            </w:pPr>
          </w:p>
        </w:tc>
      </w:tr>
      <w:tr>
        <w:tblPrEx>
          <w:tblLayout w:type="fixed"/>
          <w:tblCellMar>
            <w:top w:w="0" w:type="dxa"/>
            <w:left w:w="108" w:type="dxa"/>
            <w:bottom w:w="0" w:type="dxa"/>
            <w:right w:w="108" w:type="dxa"/>
          </w:tblCellMar>
        </w:tblPrEx>
        <w:tc>
          <w:tcPr>
            <w:tcW w:w="1921" w:type="dxa"/>
            <w:tcBorders>
              <w:tl2br w:val="nil"/>
              <w:tr2bl w:val="nil"/>
            </w:tcBorders>
          </w:tcPr>
          <w:p>
            <w:pPr>
              <w:pStyle w:val="31"/>
              <w:keepNext w:val="0"/>
              <w:keepLines w:val="0"/>
              <w:pageBreakBefore w:val="0"/>
              <w:widowControl w:val="0"/>
              <w:kinsoku/>
              <w:overflowPunct/>
              <w:topLinePunct w:val="0"/>
              <w:bidi w:val="0"/>
              <w:ind w:firstLine="0" w:firstLineChars="0"/>
              <w:jc w:val="center"/>
              <w:rPr>
                <w:rFonts w:ascii="宋体" w:hAnsi="宋体" w:cs="宋体"/>
                <w:b/>
                <w:bCs/>
                <w:sz w:val="32"/>
                <w:szCs w:val="32"/>
              </w:rPr>
            </w:pPr>
            <w:r>
              <w:rPr>
                <w:rFonts w:hint="eastAsia" w:ascii="宋体" w:hAnsi="宋体" w:cs="宋体"/>
                <w:b/>
                <w:bCs/>
                <w:sz w:val="32"/>
                <w:szCs w:val="32"/>
              </w:rPr>
              <w:t>地   址：</w:t>
            </w:r>
          </w:p>
        </w:tc>
        <w:tc>
          <w:tcPr>
            <w:tcW w:w="6179" w:type="dxa"/>
            <w:tcBorders>
              <w:top w:val="single" w:color="auto" w:sz="4" w:space="0"/>
              <w:bottom w:val="single" w:color="auto" w:sz="4" w:space="0"/>
            </w:tcBorders>
          </w:tcPr>
          <w:p>
            <w:pPr>
              <w:keepNext w:val="0"/>
              <w:keepLines w:val="0"/>
              <w:pageBreakBefore w:val="0"/>
              <w:widowControl w:val="0"/>
              <w:tabs>
                <w:tab w:val="left" w:leader="underscore" w:pos="7140"/>
              </w:tabs>
              <w:kinsoku/>
              <w:overflowPunct/>
              <w:topLinePunct w:val="0"/>
              <w:bidi w:val="0"/>
              <w:ind w:left="-1"/>
              <w:jc w:val="center"/>
              <w:rPr>
                <w:rStyle w:val="35"/>
                <w:color w:val="000000"/>
                <w:spacing w:val="280"/>
                <w:kern w:val="0"/>
                <w:szCs w:val="28"/>
              </w:rPr>
            </w:pPr>
          </w:p>
        </w:tc>
      </w:tr>
      <w:tr>
        <w:tblPrEx>
          <w:tblLayout w:type="fixed"/>
          <w:tblCellMar>
            <w:top w:w="0" w:type="dxa"/>
            <w:left w:w="108" w:type="dxa"/>
            <w:bottom w:w="0" w:type="dxa"/>
            <w:right w:w="108" w:type="dxa"/>
          </w:tblCellMar>
        </w:tblPrEx>
        <w:tc>
          <w:tcPr>
            <w:tcW w:w="1921" w:type="dxa"/>
            <w:tcBorders>
              <w:tl2br w:val="nil"/>
              <w:tr2bl w:val="nil"/>
            </w:tcBorders>
          </w:tcPr>
          <w:p>
            <w:pPr>
              <w:pStyle w:val="31"/>
              <w:keepNext w:val="0"/>
              <w:keepLines w:val="0"/>
              <w:pageBreakBefore w:val="0"/>
              <w:widowControl w:val="0"/>
              <w:kinsoku/>
              <w:overflowPunct/>
              <w:topLinePunct w:val="0"/>
              <w:bidi w:val="0"/>
              <w:ind w:firstLine="0" w:firstLineChars="0"/>
              <w:jc w:val="center"/>
              <w:rPr>
                <w:rFonts w:ascii="宋体" w:hAnsi="宋体" w:cs="宋体"/>
                <w:b/>
                <w:bCs/>
                <w:sz w:val="32"/>
                <w:szCs w:val="32"/>
              </w:rPr>
            </w:pPr>
            <w:bookmarkStart w:id="16" w:name="_Toc24445"/>
            <w:bookmarkStart w:id="17" w:name="_Toc3932"/>
            <w:bookmarkStart w:id="18" w:name="_Toc3908"/>
            <w:bookmarkStart w:id="19" w:name="_Toc21820"/>
            <w:bookmarkStart w:id="20" w:name="_Toc11089"/>
            <w:bookmarkStart w:id="21" w:name="_Toc17640"/>
            <w:r>
              <w:rPr>
                <w:rFonts w:hint="eastAsia" w:ascii="宋体" w:hAnsi="宋体" w:cs="宋体"/>
                <w:b/>
                <w:bCs/>
                <w:sz w:val="32"/>
                <w:szCs w:val="32"/>
              </w:rPr>
              <w:t>日   期：</w:t>
            </w:r>
            <w:bookmarkEnd w:id="16"/>
            <w:bookmarkEnd w:id="17"/>
            <w:bookmarkEnd w:id="18"/>
            <w:bookmarkEnd w:id="19"/>
            <w:bookmarkEnd w:id="20"/>
            <w:bookmarkEnd w:id="21"/>
          </w:p>
        </w:tc>
        <w:tc>
          <w:tcPr>
            <w:tcW w:w="6179" w:type="dxa"/>
            <w:tcBorders>
              <w:top w:val="single" w:color="auto" w:sz="4" w:space="0"/>
              <w:bottom w:val="single" w:color="auto" w:sz="4" w:space="0"/>
            </w:tcBorders>
          </w:tcPr>
          <w:p>
            <w:pPr>
              <w:pStyle w:val="3"/>
              <w:keepNext w:val="0"/>
              <w:keepLines w:val="0"/>
              <w:pageBreakBefore w:val="0"/>
              <w:widowControl w:val="0"/>
              <w:tabs>
                <w:tab w:val="left" w:leader="underscore" w:pos="7140"/>
              </w:tabs>
              <w:kinsoku/>
              <w:overflowPunct/>
              <w:topLinePunct w:val="0"/>
              <w:bidi w:val="0"/>
              <w:spacing w:before="0" w:after="0" w:line="240" w:lineRule="auto"/>
              <w:ind w:left="-1"/>
              <w:jc w:val="center"/>
              <w:rPr>
                <w:rStyle w:val="35"/>
                <w:b/>
                <w:bCs/>
                <w:color w:val="000000"/>
                <w:spacing w:val="280"/>
                <w:kern w:val="0"/>
                <w:szCs w:val="28"/>
              </w:rPr>
            </w:pPr>
          </w:p>
        </w:tc>
      </w:tr>
    </w:tbl>
    <w:p>
      <w:pPr>
        <w:pStyle w:val="30"/>
        <w:keepNext w:val="0"/>
        <w:keepLines w:val="0"/>
        <w:pageBreakBefore w:val="0"/>
        <w:widowControl w:val="0"/>
        <w:kinsoku/>
        <w:overflowPunct/>
        <w:topLinePunct w:val="0"/>
        <w:bidi w:val="0"/>
        <w:ind w:left="-1"/>
        <w:rPr>
          <w:rFonts w:ascii="宋体" w:hAnsi="宋体"/>
          <w:b/>
          <w:color w:val="FF0000"/>
        </w:rPr>
      </w:pPr>
    </w:p>
    <w:p>
      <w:pPr>
        <w:pStyle w:val="30"/>
        <w:keepNext w:val="0"/>
        <w:keepLines w:val="0"/>
        <w:pageBreakBefore w:val="0"/>
        <w:widowControl w:val="0"/>
        <w:kinsoku/>
        <w:overflowPunct/>
        <w:topLinePunct w:val="0"/>
        <w:bidi w:val="0"/>
        <w:ind w:left="-1"/>
        <w:rPr>
          <w:rFonts w:ascii="宋体" w:hAnsi="宋体"/>
          <w:b/>
          <w:color w:val="FF0000"/>
        </w:rPr>
      </w:pPr>
    </w:p>
    <w:p>
      <w:pPr>
        <w:keepNext w:val="0"/>
        <w:keepLines w:val="0"/>
        <w:pageBreakBefore w:val="0"/>
        <w:widowControl w:val="0"/>
        <w:kinsoku/>
        <w:overflowPunct/>
        <w:topLinePunct w:val="0"/>
        <w:bidi w:val="0"/>
        <w:ind w:left="-1"/>
      </w:pPr>
    </w:p>
    <w:p>
      <w:pPr>
        <w:pStyle w:val="3"/>
        <w:keepNext w:val="0"/>
        <w:keepLines w:val="0"/>
        <w:pageBreakBefore w:val="0"/>
        <w:widowControl w:val="0"/>
        <w:kinsoku/>
        <w:overflowPunct/>
        <w:topLinePunct w:val="0"/>
        <w:bidi w:val="0"/>
        <w:ind w:left="-1"/>
      </w:pPr>
    </w:p>
    <w:p>
      <w:pPr>
        <w:keepNext w:val="0"/>
        <w:keepLines w:val="0"/>
        <w:pageBreakBefore w:val="0"/>
        <w:widowControl w:val="0"/>
        <w:kinsoku/>
        <w:overflowPunct/>
        <w:topLinePunct w:val="0"/>
        <w:bidi w:val="0"/>
        <w:ind w:left="-1"/>
      </w:pPr>
    </w:p>
    <w:p>
      <w:pPr>
        <w:keepNext w:val="0"/>
        <w:keepLines w:val="0"/>
        <w:pageBreakBefore w:val="0"/>
        <w:widowControl w:val="0"/>
        <w:kinsoku/>
        <w:overflowPunct/>
        <w:topLinePunct w:val="0"/>
        <w:bidi w:val="0"/>
        <w:ind w:left="-1"/>
        <w:jc w:val="center"/>
        <w:rPr>
          <w:rFonts w:ascii="黑体" w:hAnsi="黑体" w:eastAsia="黑体" w:cs="黑体"/>
          <w:sz w:val="44"/>
          <w:szCs w:val="44"/>
        </w:rPr>
      </w:pPr>
    </w:p>
    <w:p>
      <w:pPr>
        <w:keepNext w:val="0"/>
        <w:keepLines w:val="0"/>
        <w:pageBreakBefore w:val="0"/>
        <w:widowControl w:val="0"/>
        <w:kinsoku/>
        <w:overflowPunct/>
        <w:topLinePunct w:val="0"/>
        <w:bidi w:val="0"/>
        <w:ind w:left="-1"/>
        <w:jc w:val="center"/>
        <w:rPr>
          <w:rFonts w:ascii="黑体" w:hAnsi="黑体" w:eastAsia="黑体" w:cs="黑体"/>
          <w:sz w:val="44"/>
          <w:szCs w:val="44"/>
        </w:rPr>
      </w:pPr>
    </w:p>
    <w:p>
      <w:pPr>
        <w:keepNext w:val="0"/>
        <w:keepLines w:val="0"/>
        <w:pageBreakBefore w:val="0"/>
        <w:widowControl w:val="0"/>
        <w:kinsoku/>
        <w:overflowPunct/>
        <w:topLinePunct w:val="0"/>
        <w:bidi w:val="0"/>
        <w:ind w:left="-1"/>
        <w:jc w:val="center"/>
        <w:rPr>
          <w:rFonts w:ascii="黑体" w:hAnsi="黑体" w:eastAsia="黑体" w:cs="黑体"/>
          <w:sz w:val="44"/>
          <w:szCs w:val="44"/>
        </w:rPr>
        <w:sectPr>
          <w:headerReference r:id="rId3" w:type="default"/>
          <w:footerReference r:id="rId4" w:type="default"/>
          <w:pgSz w:w="11906" w:h="16838"/>
          <w:pgMar w:top="1440" w:right="1080" w:bottom="1440" w:left="1080" w:header="851" w:footer="992" w:gutter="0"/>
          <w:paperSrc w:first="15"/>
          <w:pgBorders>
            <w:top w:val="none" w:sz="0" w:space="0"/>
            <w:left w:val="none" w:sz="0" w:space="0"/>
            <w:bottom w:val="none" w:sz="0" w:space="0"/>
            <w:right w:val="none" w:sz="0" w:space="0"/>
          </w:pgBorders>
          <w:pgNumType w:fmt="numberInDash" w:start="1"/>
          <w:cols w:space="720" w:num="1"/>
          <w:docGrid w:type="lines" w:linePitch="312" w:charSpace="0"/>
        </w:sectPr>
      </w:pPr>
    </w:p>
    <w:sdt>
      <w:sdtPr>
        <w:rPr>
          <w:rFonts w:ascii="宋体" w:hAnsi="宋体" w:eastAsia="黑体"/>
          <w:b/>
          <w:bCs/>
          <w:kern w:val="44"/>
          <w:sz w:val="48"/>
          <w:szCs w:val="48"/>
        </w:rPr>
        <w:id w:val="147460192"/>
        <w15:color w:val="DBDBDB"/>
        <w:docPartObj>
          <w:docPartGallery w:val="Table of Contents"/>
          <w:docPartUnique/>
        </w:docPartObj>
      </w:sdtPr>
      <w:sdtEndPr>
        <w:rPr>
          <w:rFonts w:hint="eastAsia" w:ascii="宋体" w:hAnsi="宋体" w:eastAsia="宋体" w:cs="宋体"/>
          <w:b/>
          <w:bCs/>
          <w:kern w:val="0"/>
          <w:sz w:val="24"/>
          <w:szCs w:val="24"/>
        </w:rPr>
      </w:sdtEndPr>
      <w:sdtContent>
        <w:p>
          <w:pPr>
            <w:pStyle w:val="31"/>
            <w:keepNext w:val="0"/>
            <w:keepLines w:val="0"/>
            <w:pageBreakBefore w:val="0"/>
            <w:widowControl w:val="0"/>
            <w:kinsoku/>
            <w:overflowPunct/>
            <w:topLinePunct w:val="0"/>
            <w:bidi w:val="0"/>
            <w:ind w:left="-1" w:firstLine="1" w:firstLineChars="0"/>
            <w:jc w:val="center"/>
            <w:rPr>
              <w:b/>
              <w:sz w:val="48"/>
              <w:szCs w:val="48"/>
            </w:rPr>
          </w:pPr>
          <w:r>
            <w:rPr>
              <w:b/>
              <w:sz w:val="48"/>
              <w:szCs w:val="48"/>
            </w:rPr>
            <w:t>目录</w:t>
          </w:r>
        </w:p>
        <w:p>
          <w:pPr>
            <w:pStyle w:val="31"/>
            <w:keepNext w:val="0"/>
            <w:keepLines w:val="0"/>
            <w:pageBreakBefore w:val="0"/>
            <w:widowControl w:val="0"/>
            <w:kinsoku/>
            <w:overflowPunct/>
            <w:topLinePunct w:val="0"/>
            <w:bidi w:val="0"/>
            <w:spacing w:line="400" w:lineRule="exact"/>
            <w:ind w:left="-1" w:firstLine="1" w:firstLineChars="0"/>
            <w:jc w:val="center"/>
            <w:rPr>
              <w:rFonts w:ascii="宋体" w:hAnsi="宋体" w:cs="宋体"/>
              <w:b/>
              <w:szCs w:val="21"/>
            </w:rPr>
          </w:pPr>
        </w:p>
        <w:p>
          <w:pPr>
            <w:pStyle w:val="18"/>
            <w:tabs>
              <w:tab w:val="right" w:leader="dot" w:pos="831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_Toc25753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rPr>
            <w:t>1、投标人自查表</w:t>
          </w:r>
          <w:r>
            <w:rPr>
              <w:rFonts w:hint="eastAsia" w:ascii="宋体" w:hAnsi="宋体" w:eastAsia="宋体" w:cs="宋体"/>
              <w:sz w:val="24"/>
              <w:szCs w:val="24"/>
            </w:rPr>
            <w:t>（资格性/符合性）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_Toc25753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31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_Toc6034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rPr>
            <w:t>2、投标函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_Toc6034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31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_Toc2592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3、法定代表人证明书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_Toc2592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31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_Toc29370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4、法定代表人授权书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_Toc29370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31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_Toc4109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5、 授权委托人身份证明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_Toc4109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31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_Toc10979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6、</w:t>
          </w:r>
          <w:r>
            <w:rPr>
              <w:rFonts w:hint="eastAsia" w:ascii="宋体" w:hAnsi="宋体" w:eastAsia="宋体" w:cs="宋体"/>
              <w:bCs w:val="0"/>
              <w:sz w:val="24"/>
              <w:szCs w:val="24"/>
            </w:rPr>
            <w:t>2个指定网站的信用信息查询记录网络截图件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_Toc10979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31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_Toc22882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7</w:t>
          </w:r>
          <w:r>
            <w:rPr>
              <w:rFonts w:hint="eastAsia" w:ascii="宋体" w:hAnsi="宋体" w:eastAsia="宋体" w:cs="宋体"/>
              <w:bCs w:val="0"/>
              <w:sz w:val="24"/>
              <w:szCs w:val="24"/>
            </w:rPr>
            <w:t>、投标单位三证或三证合一</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_Toc22882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31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_Toc2702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8</w:t>
          </w:r>
          <w:r>
            <w:rPr>
              <w:rFonts w:hint="eastAsia" w:ascii="宋体" w:hAnsi="宋体" w:eastAsia="宋体" w:cs="宋体"/>
              <w:bCs w:val="0"/>
              <w:sz w:val="24"/>
              <w:szCs w:val="24"/>
            </w:rPr>
            <w:t>、</w:t>
          </w:r>
          <w:r>
            <w:rPr>
              <w:rFonts w:hint="eastAsia" w:ascii="宋体" w:hAnsi="宋体" w:eastAsia="宋体" w:cs="宋体"/>
              <w:bCs w:val="0"/>
              <w:sz w:val="24"/>
              <w:szCs w:val="24"/>
              <w:lang w:eastAsia="zh-CN"/>
            </w:rPr>
            <w:t>资质情况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_Toc2702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31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_Toc21506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9、系统</w:t>
          </w:r>
          <w:r>
            <w:rPr>
              <w:rFonts w:hint="eastAsia" w:ascii="宋体" w:hAnsi="宋体" w:eastAsia="宋体" w:cs="宋体"/>
              <w:bCs w:val="0"/>
              <w:sz w:val="24"/>
              <w:szCs w:val="24"/>
              <w:lang w:eastAsia="zh-CN"/>
            </w:rPr>
            <w:t>功能情况介绍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_Toc21506 </w:instrText>
          </w:r>
          <w:r>
            <w:rPr>
              <w:rFonts w:hint="eastAsia" w:ascii="宋体" w:hAnsi="宋体" w:eastAsia="宋体" w:cs="宋体"/>
              <w:sz w:val="24"/>
              <w:szCs w:val="24"/>
            </w:rPr>
            <w:fldChar w:fldCharType="separate"/>
          </w:r>
          <w:r>
            <w:rPr>
              <w:rFonts w:hint="eastAsia" w:ascii="宋体" w:hAnsi="宋体" w:eastAsia="宋体" w:cs="宋体"/>
              <w:sz w:val="24"/>
              <w:szCs w:val="24"/>
            </w:rPr>
            <w:t>- 10 -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31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_Toc26605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10</w:t>
          </w:r>
          <w:r>
            <w:rPr>
              <w:rFonts w:hint="eastAsia" w:ascii="宋体" w:hAnsi="宋体" w:eastAsia="宋体" w:cs="宋体"/>
              <w:bCs w:val="0"/>
              <w:sz w:val="24"/>
              <w:szCs w:val="24"/>
            </w:rPr>
            <w:t>、</w:t>
          </w:r>
          <w:r>
            <w:rPr>
              <w:rFonts w:hint="eastAsia" w:ascii="宋体" w:hAnsi="宋体" w:eastAsia="宋体" w:cs="宋体"/>
              <w:bCs w:val="0"/>
              <w:sz w:val="24"/>
              <w:szCs w:val="24"/>
              <w:lang w:eastAsia="zh-CN"/>
            </w:rPr>
            <w:t>项目</w:t>
          </w:r>
          <w:r>
            <w:rPr>
              <w:rFonts w:hint="eastAsia" w:ascii="宋体" w:hAnsi="宋体" w:eastAsia="宋体" w:cs="宋体"/>
              <w:bCs w:val="0"/>
              <w:sz w:val="24"/>
              <w:szCs w:val="24"/>
              <w:lang w:val="en-US" w:eastAsia="zh-CN"/>
            </w:rPr>
            <w:t>实施及</w:t>
          </w:r>
          <w:r>
            <w:rPr>
              <w:rFonts w:hint="eastAsia" w:ascii="宋体" w:hAnsi="宋体" w:eastAsia="宋体" w:cs="宋体"/>
              <w:bCs w:val="0"/>
              <w:sz w:val="24"/>
              <w:szCs w:val="24"/>
              <w:lang w:eastAsia="zh-CN"/>
            </w:rPr>
            <w:t>保障</w:t>
          </w:r>
          <w:r>
            <w:rPr>
              <w:rFonts w:hint="eastAsia" w:ascii="宋体" w:hAnsi="宋体" w:eastAsia="宋体" w:cs="宋体"/>
              <w:bCs w:val="0"/>
              <w:sz w:val="24"/>
              <w:szCs w:val="24"/>
            </w:rPr>
            <w:t>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_Toc26605 </w:instrText>
          </w:r>
          <w:r>
            <w:rPr>
              <w:rFonts w:hint="eastAsia" w:ascii="宋体" w:hAnsi="宋体" w:eastAsia="宋体" w:cs="宋体"/>
              <w:sz w:val="24"/>
              <w:szCs w:val="24"/>
            </w:rPr>
            <w:fldChar w:fldCharType="separate"/>
          </w:r>
          <w:r>
            <w:rPr>
              <w:rFonts w:hint="eastAsia" w:ascii="宋体" w:hAnsi="宋体" w:eastAsia="宋体" w:cs="宋体"/>
              <w:sz w:val="24"/>
              <w:szCs w:val="24"/>
            </w:rPr>
            <w:t>- 11 -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31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_Toc1477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11</w:t>
          </w:r>
          <w:r>
            <w:rPr>
              <w:rFonts w:hint="eastAsia" w:ascii="宋体" w:hAnsi="宋体" w:eastAsia="宋体" w:cs="宋体"/>
              <w:bCs w:val="0"/>
              <w:sz w:val="24"/>
              <w:szCs w:val="24"/>
            </w:rPr>
            <w:t>、</w:t>
          </w:r>
          <w:r>
            <w:rPr>
              <w:rFonts w:hint="eastAsia" w:ascii="宋体" w:hAnsi="宋体" w:eastAsia="宋体" w:cs="宋体"/>
              <w:bCs w:val="0"/>
              <w:sz w:val="24"/>
              <w:szCs w:val="24"/>
              <w:lang w:val="en-US" w:eastAsia="zh-CN"/>
            </w:rPr>
            <w:t>售后服务计划</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_Toc1477 </w:instrText>
          </w:r>
          <w:r>
            <w:rPr>
              <w:rFonts w:hint="eastAsia" w:ascii="宋体" w:hAnsi="宋体" w:eastAsia="宋体" w:cs="宋体"/>
              <w:sz w:val="24"/>
              <w:szCs w:val="24"/>
            </w:rPr>
            <w:fldChar w:fldCharType="separate"/>
          </w:r>
          <w:r>
            <w:rPr>
              <w:rFonts w:hint="eastAsia" w:ascii="宋体" w:hAnsi="宋体" w:eastAsia="宋体" w:cs="宋体"/>
              <w:sz w:val="24"/>
              <w:szCs w:val="24"/>
            </w:rPr>
            <w:t>- 12 -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31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_Toc24612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1</w:t>
          </w:r>
          <w:r>
            <w:rPr>
              <w:rFonts w:hint="eastAsia" w:ascii="宋体" w:hAnsi="宋体" w:eastAsia="宋体" w:cs="宋体"/>
              <w:bCs w:val="0"/>
              <w:sz w:val="24"/>
              <w:szCs w:val="24"/>
              <w:lang w:val="en-US" w:eastAsia="zh-CN"/>
            </w:rPr>
            <w:t>2</w:t>
          </w:r>
          <w:r>
            <w:rPr>
              <w:rFonts w:hint="eastAsia" w:ascii="宋体" w:hAnsi="宋体" w:eastAsia="宋体" w:cs="宋体"/>
              <w:bCs w:val="0"/>
              <w:sz w:val="24"/>
              <w:szCs w:val="24"/>
            </w:rPr>
            <w:t>、投标单位同类项目业绩情况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_Toc24612 </w:instrText>
          </w:r>
          <w:r>
            <w:rPr>
              <w:rFonts w:hint="eastAsia" w:ascii="宋体" w:hAnsi="宋体" w:eastAsia="宋体" w:cs="宋体"/>
              <w:sz w:val="24"/>
              <w:szCs w:val="24"/>
            </w:rPr>
            <w:fldChar w:fldCharType="separate"/>
          </w:r>
          <w:r>
            <w:rPr>
              <w:rFonts w:hint="eastAsia" w:ascii="宋体" w:hAnsi="宋体" w:eastAsia="宋体" w:cs="宋体"/>
              <w:sz w:val="24"/>
              <w:szCs w:val="24"/>
            </w:rPr>
            <w:t>- 13 -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31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_Toc13123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1</w:t>
          </w:r>
          <w:r>
            <w:rPr>
              <w:rFonts w:hint="eastAsia" w:ascii="宋体" w:hAnsi="宋体" w:eastAsia="宋体" w:cs="宋体"/>
              <w:bCs w:val="0"/>
              <w:sz w:val="24"/>
              <w:szCs w:val="24"/>
              <w:lang w:val="en-US" w:eastAsia="zh-CN"/>
            </w:rPr>
            <w:t>3</w:t>
          </w:r>
          <w:r>
            <w:rPr>
              <w:rFonts w:hint="eastAsia" w:ascii="宋体" w:hAnsi="宋体" w:eastAsia="宋体" w:cs="宋体"/>
              <w:bCs w:val="0"/>
              <w:sz w:val="24"/>
              <w:szCs w:val="24"/>
            </w:rPr>
            <w:t>、其它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_Toc13123 </w:instrText>
          </w:r>
          <w:r>
            <w:rPr>
              <w:rFonts w:hint="eastAsia" w:ascii="宋体" w:hAnsi="宋体" w:eastAsia="宋体" w:cs="宋体"/>
              <w:sz w:val="24"/>
              <w:szCs w:val="24"/>
            </w:rPr>
            <w:fldChar w:fldCharType="separate"/>
          </w:r>
          <w:r>
            <w:rPr>
              <w:rFonts w:hint="eastAsia" w:ascii="宋体" w:hAnsi="宋体" w:eastAsia="宋体" w:cs="宋体"/>
              <w:sz w:val="24"/>
              <w:szCs w:val="24"/>
            </w:rPr>
            <w:t>- 14 -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31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_Toc30207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1</w:t>
          </w:r>
          <w:r>
            <w:rPr>
              <w:rFonts w:hint="eastAsia" w:ascii="宋体" w:hAnsi="宋体" w:eastAsia="宋体" w:cs="宋体"/>
              <w:bCs w:val="0"/>
              <w:sz w:val="24"/>
              <w:szCs w:val="24"/>
              <w:lang w:val="en-US" w:eastAsia="zh-CN"/>
            </w:rPr>
            <w:t>4</w:t>
          </w:r>
          <w:r>
            <w:rPr>
              <w:rFonts w:hint="eastAsia" w:ascii="宋体" w:hAnsi="宋体" w:eastAsia="宋体" w:cs="宋体"/>
              <w:bCs w:val="0"/>
              <w:sz w:val="24"/>
              <w:szCs w:val="24"/>
            </w:rPr>
            <w:t>、投标人诚信承诺函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_Toc30207 </w:instrText>
          </w:r>
          <w:r>
            <w:rPr>
              <w:rFonts w:hint="eastAsia" w:ascii="宋体" w:hAnsi="宋体" w:eastAsia="宋体" w:cs="宋体"/>
              <w:sz w:val="24"/>
              <w:szCs w:val="24"/>
            </w:rPr>
            <w:fldChar w:fldCharType="separate"/>
          </w:r>
          <w:r>
            <w:rPr>
              <w:rFonts w:hint="eastAsia" w:ascii="宋体" w:hAnsi="宋体" w:eastAsia="宋体" w:cs="宋体"/>
              <w:sz w:val="24"/>
              <w:szCs w:val="24"/>
            </w:rPr>
            <w:t>- 15 -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31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_Toc27371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1</w:t>
          </w:r>
          <w:r>
            <w:rPr>
              <w:rFonts w:hint="eastAsia" w:ascii="宋体" w:hAnsi="宋体" w:eastAsia="宋体" w:cs="宋体"/>
              <w:bCs w:val="0"/>
              <w:sz w:val="24"/>
              <w:szCs w:val="24"/>
              <w:lang w:val="en-US" w:eastAsia="zh-CN"/>
            </w:rPr>
            <w:t>5</w:t>
          </w:r>
          <w:r>
            <w:rPr>
              <w:rFonts w:hint="eastAsia" w:ascii="宋体" w:hAnsi="宋体" w:eastAsia="宋体" w:cs="宋体"/>
              <w:bCs w:val="0"/>
              <w:sz w:val="24"/>
              <w:szCs w:val="24"/>
            </w:rPr>
            <w:t>、政府采购投标及履约承诺函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_Toc27371 </w:instrText>
          </w:r>
          <w:r>
            <w:rPr>
              <w:rFonts w:hint="eastAsia" w:ascii="宋体" w:hAnsi="宋体" w:eastAsia="宋体" w:cs="宋体"/>
              <w:sz w:val="24"/>
              <w:szCs w:val="24"/>
            </w:rPr>
            <w:fldChar w:fldCharType="separate"/>
          </w:r>
          <w:r>
            <w:rPr>
              <w:rFonts w:hint="eastAsia" w:ascii="宋体" w:hAnsi="宋体" w:eastAsia="宋体" w:cs="宋体"/>
              <w:sz w:val="24"/>
              <w:szCs w:val="24"/>
            </w:rPr>
            <w:t>- 16 -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31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_Toc1234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1</w:t>
          </w:r>
          <w:r>
            <w:rPr>
              <w:rFonts w:hint="eastAsia" w:ascii="宋体" w:hAnsi="宋体" w:eastAsia="宋体" w:cs="宋体"/>
              <w:bCs w:val="0"/>
              <w:sz w:val="24"/>
              <w:szCs w:val="24"/>
              <w:lang w:val="en-US" w:eastAsia="zh-CN"/>
            </w:rPr>
            <w:t>6</w:t>
          </w:r>
          <w:r>
            <w:rPr>
              <w:rFonts w:hint="eastAsia" w:ascii="宋体" w:hAnsi="宋体" w:eastAsia="宋体" w:cs="宋体"/>
              <w:bCs w:val="0"/>
              <w:sz w:val="24"/>
              <w:szCs w:val="24"/>
            </w:rPr>
            <w:t>、参数偏离表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_Toc1234 </w:instrText>
          </w:r>
          <w:r>
            <w:rPr>
              <w:rFonts w:hint="eastAsia" w:ascii="宋体" w:hAnsi="宋体" w:eastAsia="宋体" w:cs="宋体"/>
              <w:sz w:val="24"/>
              <w:szCs w:val="24"/>
            </w:rPr>
            <w:fldChar w:fldCharType="separate"/>
          </w:r>
          <w:r>
            <w:rPr>
              <w:rFonts w:hint="eastAsia" w:ascii="宋体" w:hAnsi="宋体" w:eastAsia="宋体" w:cs="宋体"/>
              <w:sz w:val="24"/>
              <w:szCs w:val="24"/>
            </w:rPr>
            <w:t>- 17 -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312"/>
            </w:tabs>
            <w:spacing w:line="360" w:lineRule="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_Toc587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1</w:t>
          </w:r>
          <w:r>
            <w:rPr>
              <w:rFonts w:hint="eastAsia" w:ascii="宋体" w:hAnsi="宋体" w:eastAsia="宋体" w:cs="宋体"/>
              <w:bCs w:val="0"/>
              <w:sz w:val="24"/>
              <w:szCs w:val="24"/>
              <w:lang w:val="en-US" w:eastAsia="zh-CN"/>
            </w:rPr>
            <w:t>7</w:t>
          </w:r>
          <w:r>
            <w:rPr>
              <w:rFonts w:hint="eastAsia" w:ascii="宋体" w:hAnsi="宋体" w:eastAsia="宋体" w:cs="宋体"/>
              <w:bCs w:val="0"/>
              <w:sz w:val="24"/>
              <w:szCs w:val="24"/>
            </w:rPr>
            <w:t>、深圳市宝安区妇幼保健院报价单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_Toc587 </w:instrText>
          </w:r>
          <w:r>
            <w:rPr>
              <w:rFonts w:hint="eastAsia" w:ascii="宋体" w:hAnsi="宋体" w:eastAsia="宋体" w:cs="宋体"/>
              <w:sz w:val="24"/>
              <w:szCs w:val="24"/>
            </w:rPr>
            <w:fldChar w:fldCharType="separate"/>
          </w:r>
          <w:r>
            <w:rPr>
              <w:rFonts w:hint="eastAsia" w:ascii="宋体" w:hAnsi="宋体" w:eastAsia="宋体" w:cs="宋体"/>
              <w:sz w:val="24"/>
              <w:szCs w:val="24"/>
            </w:rPr>
            <w:t>- 22 -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keepNext w:val="0"/>
            <w:keepLines w:val="0"/>
            <w:pageBreakBefore w:val="0"/>
            <w:widowControl w:val="0"/>
            <w:kinsoku/>
            <w:overflowPunct/>
            <w:topLinePunct w:val="0"/>
            <w:bidi w:val="0"/>
            <w:spacing w:line="360" w:lineRule="auto"/>
            <w:ind w:left="-1" w:firstLine="480"/>
            <w:rPr>
              <w:rFonts w:hint="eastAsia" w:ascii="宋体" w:hAnsi="宋体" w:eastAsia="宋体" w:cs="宋体"/>
              <w:sz w:val="24"/>
              <w:szCs w:val="24"/>
            </w:rPr>
          </w:pPr>
          <w:r>
            <w:rPr>
              <w:rFonts w:hint="eastAsia" w:ascii="宋体" w:hAnsi="宋体" w:eastAsia="宋体" w:cs="宋体"/>
              <w:szCs w:val="24"/>
            </w:rPr>
            <w:fldChar w:fldCharType="end"/>
          </w:r>
        </w:p>
      </w:sdtContent>
    </w:sdt>
    <w:p>
      <w:pPr>
        <w:keepNext w:val="0"/>
        <w:keepLines w:val="0"/>
        <w:pageBreakBefore w:val="0"/>
        <w:widowControl w:val="0"/>
        <w:kinsoku/>
        <w:overflowPunct/>
        <w:topLinePunct w:val="0"/>
        <w:bidi w:val="0"/>
        <w:snapToGrid w:val="0"/>
        <w:spacing w:line="280" w:lineRule="exact"/>
        <w:ind w:left="-1"/>
        <w:rPr>
          <w:rFonts w:ascii="宋体" w:hAnsi="宋体" w:cs="宋体-18030"/>
          <w:bCs/>
          <w:kern w:val="0"/>
          <w:szCs w:val="21"/>
        </w:rPr>
      </w:pPr>
      <w:r>
        <w:rPr>
          <w:rFonts w:hint="eastAsia" w:ascii="宋体" w:hAnsi="宋体" w:cs="宋体-18030"/>
          <w:bCs/>
          <w:kern w:val="0"/>
          <w:szCs w:val="21"/>
        </w:rPr>
        <w:t>以上材料复印件须</w:t>
      </w:r>
      <w:r>
        <w:rPr>
          <w:rFonts w:hint="eastAsia" w:ascii="宋体" w:hAnsi="宋体" w:cs="宋体-18030"/>
          <w:bCs/>
          <w:color w:val="FF0000"/>
          <w:kern w:val="0"/>
          <w:szCs w:val="21"/>
        </w:rPr>
        <w:t>盖企业红章</w:t>
      </w:r>
      <w:r>
        <w:rPr>
          <w:rFonts w:hint="eastAsia" w:ascii="宋体" w:hAnsi="宋体" w:cs="宋体-18030"/>
          <w:bCs/>
          <w:kern w:val="0"/>
          <w:szCs w:val="21"/>
        </w:rPr>
        <w:t>，法人代表授权书须有</w:t>
      </w:r>
      <w:r>
        <w:rPr>
          <w:rFonts w:hint="eastAsia" w:ascii="宋体" w:hAnsi="宋体" w:cs="宋体-18030"/>
          <w:bCs/>
          <w:color w:val="FF0000"/>
          <w:kern w:val="0"/>
          <w:szCs w:val="21"/>
        </w:rPr>
        <w:t>法人代表签名</w:t>
      </w:r>
      <w:r>
        <w:rPr>
          <w:rFonts w:hint="eastAsia" w:ascii="宋体" w:hAnsi="宋体" w:cs="宋体-18030"/>
          <w:bCs/>
          <w:kern w:val="0"/>
          <w:szCs w:val="21"/>
        </w:rPr>
        <w:t>。若以上材料未能全面提供以至影响评标结果，投标人自负全责。</w:t>
      </w:r>
    </w:p>
    <w:p>
      <w:pPr>
        <w:keepNext w:val="0"/>
        <w:keepLines w:val="0"/>
        <w:pageBreakBefore w:val="0"/>
        <w:widowControl w:val="0"/>
        <w:kinsoku/>
        <w:overflowPunct/>
        <w:topLinePunct w:val="0"/>
        <w:bidi w:val="0"/>
        <w:spacing w:after="60"/>
        <w:ind w:left="-1"/>
        <w:rPr>
          <w:rFonts w:ascii="宋体" w:hAnsi="宋体"/>
          <w:szCs w:val="21"/>
        </w:rPr>
      </w:pPr>
    </w:p>
    <w:p>
      <w:pPr>
        <w:keepNext w:val="0"/>
        <w:keepLines w:val="0"/>
        <w:pageBreakBefore w:val="0"/>
        <w:widowControl w:val="0"/>
        <w:kinsoku/>
        <w:overflowPunct/>
        <w:topLinePunct w:val="0"/>
        <w:bidi w:val="0"/>
        <w:ind w:left="-1"/>
        <w:jc w:val="left"/>
        <w:rPr>
          <w:rFonts w:ascii="宋体" w:hAnsi="宋体"/>
          <w:szCs w:val="21"/>
        </w:rPr>
        <w:sectPr>
          <w:footerReference r:id="rId5" w:type="default"/>
          <w:pgSz w:w="11906" w:h="16838"/>
          <w:pgMar w:top="1440" w:right="1797" w:bottom="1440" w:left="1797" w:header="851" w:footer="992" w:gutter="0"/>
          <w:paperSrc w:first="15"/>
          <w:pgBorders>
            <w:top w:val="none" w:sz="0" w:space="0"/>
            <w:left w:val="none" w:sz="0" w:space="0"/>
            <w:bottom w:val="none" w:sz="0" w:space="0"/>
            <w:right w:val="none" w:sz="0" w:space="0"/>
          </w:pgBorders>
          <w:pgNumType w:fmt="numberInDash" w:start="1"/>
          <w:cols w:space="720" w:num="1"/>
          <w:docGrid w:type="lines" w:linePitch="312" w:charSpace="0"/>
        </w:sectPr>
      </w:pPr>
      <w:r>
        <w:rPr>
          <w:rFonts w:hint="eastAsia" w:ascii="宋体" w:hAnsi="宋体"/>
          <w:szCs w:val="21"/>
        </w:rPr>
        <w:t>注：1.</w:t>
      </w:r>
      <w:r>
        <w:rPr>
          <w:rFonts w:hint="eastAsia" w:ascii="宋体" w:hAnsi="宋体"/>
          <w:b/>
          <w:bCs/>
          <w:color w:val="FF0000"/>
          <w:szCs w:val="21"/>
        </w:rPr>
        <w:t>纸质投标文件请按以上《目录》顺序胶装成册，必须标注页码，双面打印。</w:t>
      </w:r>
      <w:r>
        <w:rPr>
          <w:rFonts w:hint="eastAsia" w:ascii="宋体" w:hAnsi="宋体"/>
          <w:szCs w:val="21"/>
        </w:rPr>
        <w:br w:type="textWrapping"/>
      </w:r>
      <w:r>
        <w:rPr>
          <w:rFonts w:hint="eastAsia" w:ascii="宋体" w:hAnsi="宋体"/>
          <w:szCs w:val="21"/>
        </w:rPr>
        <w:t xml:space="preserve">    2.投标书正本的每一页均应加盖公司印章其授权代表用姓名签字，法人代表授权书须有法人代表签名。</w:t>
      </w:r>
    </w:p>
    <w:p>
      <w:pPr>
        <w:pStyle w:val="3"/>
        <w:keepNext w:val="0"/>
        <w:keepLines w:val="0"/>
        <w:pageBreakBefore w:val="0"/>
        <w:widowControl w:val="0"/>
        <w:kinsoku/>
        <w:overflowPunct/>
        <w:topLinePunct w:val="0"/>
        <w:bidi w:val="0"/>
        <w:spacing w:before="0" w:after="0" w:line="240" w:lineRule="auto"/>
        <w:jc w:val="center"/>
        <w:rPr>
          <w:rFonts w:ascii="黑体" w:hAnsi="黑体" w:eastAsia="黑体" w:cs="黑体"/>
          <w:sz w:val="32"/>
          <w:szCs w:val="32"/>
        </w:rPr>
      </w:pPr>
      <w:bookmarkStart w:id="22" w:name="_投标人自查表"/>
      <w:bookmarkEnd w:id="22"/>
      <w:bookmarkStart w:id="23" w:name="_Toc25753"/>
      <w:r>
        <w:rPr>
          <w:rFonts w:hint="eastAsia" w:ascii="黑体" w:hAnsi="黑体" w:eastAsia="黑体"/>
          <w:bCs w:val="0"/>
          <w:color w:val="000000"/>
          <w:kern w:val="2"/>
          <w:sz w:val="32"/>
          <w:szCs w:val="32"/>
        </w:rPr>
        <w:t>1、投标人自查表</w:t>
      </w:r>
      <w:bookmarkStart w:id="24" w:name="_Toc26310"/>
      <w:r>
        <w:rPr>
          <w:rFonts w:hint="eastAsia" w:ascii="黑体" w:hAnsi="黑体" w:eastAsia="黑体" w:cs="黑体"/>
          <w:sz w:val="32"/>
          <w:szCs w:val="32"/>
        </w:rPr>
        <w:t>（资格性/符合性）</w:t>
      </w:r>
      <w:bookmarkEnd w:id="23"/>
    </w:p>
    <w:p>
      <w:pPr>
        <w:keepNext w:val="0"/>
        <w:keepLines w:val="0"/>
        <w:pageBreakBefore w:val="0"/>
        <w:widowControl w:val="0"/>
        <w:kinsoku/>
        <w:overflowPunct/>
        <w:topLinePunct w:val="0"/>
        <w:bidi w:val="0"/>
        <w:jc w:val="center"/>
      </w:pPr>
      <w:r>
        <w:rPr>
          <w:rFonts w:hint="eastAsia" w:ascii="宋体" w:hAnsi="宋体"/>
          <w:szCs w:val="21"/>
        </w:rPr>
        <w:t>备注：请在</w:t>
      </w:r>
      <w:r>
        <w:rPr>
          <w:rStyle w:val="24"/>
          <w:sz w:val="21"/>
          <w:szCs w:val="21"/>
        </w:rPr>
        <w:t>自查结论</w:t>
      </w:r>
      <w:r>
        <w:rPr>
          <w:rStyle w:val="24"/>
          <w:rFonts w:hint="eastAsia"/>
          <w:sz w:val="21"/>
          <w:szCs w:val="21"/>
        </w:rPr>
        <w:t>表格中“</w:t>
      </w:r>
      <w:r>
        <w:rPr>
          <w:szCs w:val="21"/>
        </w:rPr>
        <w:t>通过</w:t>
      </w:r>
      <w:r>
        <w:rPr>
          <w:rStyle w:val="24"/>
          <w:rFonts w:hint="eastAsia"/>
          <w:sz w:val="21"/>
          <w:szCs w:val="21"/>
        </w:rPr>
        <w:t>”</w:t>
      </w:r>
      <w:r>
        <w:rPr>
          <w:rFonts w:hint="eastAsia"/>
          <w:szCs w:val="21"/>
        </w:rPr>
        <w:t>或“不</w:t>
      </w:r>
      <w:r>
        <w:rPr>
          <w:szCs w:val="21"/>
        </w:rPr>
        <w:t>通过</w:t>
      </w:r>
      <w:r>
        <w:rPr>
          <w:rFonts w:hint="eastAsia"/>
          <w:szCs w:val="21"/>
        </w:rPr>
        <w:t>”中：</w:t>
      </w:r>
      <w:r>
        <w:rPr>
          <w:rFonts w:hint="eastAsia"/>
          <w:sz w:val="22"/>
          <w:szCs w:val="21"/>
        </w:rPr>
        <w:t>☑</w:t>
      </w:r>
    </w:p>
    <w:tbl>
      <w:tblPr>
        <w:tblStyle w:val="28"/>
        <w:tblpPr w:leftFromText="180" w:rightFromText="180" w:vertAnchor="text" w:horzAnchor="page" w:tblpX="1379" w:tblpY="508"/>
        <w:tblW w:w="10073"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57" w:type="dxa"/>
          <w:left w:w="120" w:type="dxa"/>
          <w:bottom w:w="57" w:type="dxa"/>
          <w:right w:w="120" w:type="dxa"/>
        </w:tblCellMar>
      </w:tblPr>
      <w:tblGrid>
        <w:gridCol w:w="832"/>
        <w:gridCol w:w="7197"/>
        <w:gridCol w:w="1098"/>
        <w:gridCol w:w="946"/>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57" w:type="dxa"/>
            <w:left w:w="120" w:type="dxa"/>
            <w:bottom w:w="57" w:type="dxa"/>
            <w:right w:w="120" w:type="dxa"/>
          </w:tblCellMar>
        </w:tblPrEx>
        <w:trPr>
          <w:trHeight w:val="772" w:hRule="exact"/>
        </w:trPr>
        <w:tc>
          <w:tcPr>
            <w:tcW w:w="832"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jc w:val="center"/>
              <w:rPr>
                <w:rFonts w:ascii="Tahoma" w:hAnsi="Tahoma"/>
                <w:b/>
                <w:bCs/>
                <w:spacing w:val="10"/>
                <w:sz w:val="24"/>
              </w:rPr>
            </w:pPr>
            <w:r>
              <w:rPr>
                <w:rStyle w:val="24"/>
              </w:rPr>
              <w:t>评审内容</w:t>
            </w:r>
          </w:p>
        </w:tc>
        <w:tc>
          <w:tcPr>
            <w:tcW w:w="7197"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jc w:val="center"/>
              <w:rPr>
                <w:rFonts w:ascii="宋体" w:hAnsi="宋体" w:cs="宋体"/>
                <w:sz w:val="18"/>
                <w:szCs w:val="18"/>
              </w:rPr>
            </w:pPr>
            <w:r>
              <w:rPr>
                <w:rStyle w:val="24"/>
                <w:rFonts w:hint="eastAsia"/>
              </w:rPr>
              <w:t>招标</w:t>
            </w:r>
            <w:r>
              <w:rPr>
                <w:rStyle w:val="24"/>
              </w:rPr>
              <w:t>文件要求</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jc w:val="center"/>
              <w:rPr>
                <w:rStyle w:val="24"/>
              </w:rPr>
            </w:pPr>
            <w:r>
              <w:rPr>
                <w:rStyle w:val="24"/>
              </w:rPr>
              <w:t>自查</w:t>
            </w:r>
          </w:p>
          <w:p>
            <w:pPr>
              <w:keepNext w:val="0"/>
              <w:keepLines w:val="0"/>
              <w:pageBreakBefore w:val="0"/>
              <w:widowControl w:val="0"/>
              <w:kinsoku/>
              <w:overflowPunct/>
              <w:topLinePunct w:val="0"/>
              <w:bidi w:val="0"/>
              <w:spacing w:line="20" w:lineRule="atLeast"/>
              <w:jc w:val="center"/>
              <w:rPr>
                <w:rFonts w:ascii="宋体" w:hAnsi="宋体" w:cs="宋体"/>
                <w:sz w:val="18"/>
                <w:szCs w:val="18"/>
              </w:rPr>
            </w:pPr>
            <w:r>
              <w:rPr>
                <w:rStyle w:val="24"/>
              </w:rPr>
              <w:t>结论</w:t>
            </w:r>
          </w:p>
        </w:tc>
        <w:tc>
          <w:tcPr>
            <w:tcW w:w="94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jc w:val="center"/>
              <w:rPr>
                <w:rFonts w:ascii="宋体" w:hAnsi="宋体" w:cs="宋体"/>
                <w:sz w:val="24"/>
              </w:rPr>
            </w:pPr>
            <w:r>
              <w:rPr>
                <w:rStyle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57" w:type="dxa"/>
            <w:left w:w="120" w:type="dxa"/>
            <w:bottom w:w="57" w:type="dxa"/>
            <w:right w:w="120" w:type="dxa"/>
          </w:tblCellMar>
        </w:tblPrEx>
        <w:trPr>
          <w:trHeight w:val="1066" w:hRule="exact"/>
        </w:trPr>
        <w:tc>
          <w:tcPr>
            <w:tcW w:w="832" w:type="dxa"/>
            <w:vMerge w:val="restart"/>
            <w:tcBorders>
              <w:top w:val="outset" w:color="111111" w:sz="6" w:space="0"/>
              <w:left w:val="outset" w:color="111111" w:sz="6" w:space="0"/>
              <w:right w:val="outset" w:color="111111" w:sz="6" w:space="0"/>
            </w:tcBorders>
            <w:textDirection w:val="tbRlV"/>
            <w:vAlign w:val="center"/>
          </w:tcPr>
          <w:p>
            <w:pPr>
              <w:pStyle w:val="21"/>
              <w:keepNext w:val="0"/>
              <w:keepLines w:val="0"/>
              <w:pageBreakBefore w:val="0"/>
              <w:widowControl w:val="0"/>
              <w:kinsoku/>
              <w:overflowPunct/>
              <w:topLinePunct w:val="0"/>
              <w:bidi w:val="0"/>
              <w:spacing w:before="0" w:beforeAutospacing="0" w:after="0" w:afterAutospacing="0" w:line="20" w:lineRule="atLeast"/>
              <w:ind w:left="113" w:right="113"/>
              <w:jc w:val="center"/>
            </w:pPr>
            <w:r>
              <w:rPr>
                <w:rFonts w:hint="eastAsia"/>
                <w:b/>
                <w:bCs/>
              </w:rPr>
              <w:t>资格性审查</w:t>
            </w:r>
          </w:p>
        </w:tc>
        <w:tc>
          <w:tcPr>
            <w:tcW w:w="7197"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left"/>
              <w:rPr>
                <w:rFonts w:ascii="宋体" w:hAnsi="宋体" w:cs="宋体"/>
                <w:szCs w:val="21"/>
                <w:highlight w:val="yellow"/>
              </w:rPr>
            </w:pPr>
            <w:r>
              <w:rPr>
                <w:rFonts w:hint="eastAsia" w:ascii="宋体" w:hAnsi="宋体" w:cs="宋体"/>
                <w:szCs w:val="21"/>
              </w:rPr>
              <w:t>1.投标人须是在中华人民共和国境内注册，具有独立法人资格或是具有独立承担民事责任的能力的其它组织（提供营业执照或事业单位法人证等法人证明扫描件，原件备查）；</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szCs w:val="21"/>
              </w:rPr>
            </w:pPr>
            <w:r>
              <w:rPr>
                <w:sz w:val="22"/>
                <w:szCs w:val="21"/>
              </w:rPr>
              <w:t>□</w:t>
            </w:r>
            <w:r>
              <w:rPr>
                <w:szCs w:val="21"/>
              </w:rPr>
              <w:t xml:space="preserve">通过 </w:t>
            </w:r>
          </w:p>
          <w:p>
            <w:pPr>
              <w:keepNext w:val="0"/>
              <w:keepLines w:val="0"/>
              <w:pageBreakBefore w:val="0"/>
              <w:widowControl w:val="0"/>
              <w:kinsoku/>
              <w:overflowPunct/>
              <w:topLinePunct w:val="0"/>
              <w:bidi w:val="0"/>
              <w:spacing w:line="20" w:lineRule="atLeast"/>
              <w:rPr>
                <w:rFonts w:ascii="宋体" w:hAnsi="宋体" w:cs="宋体"/>
                <w:szCs w:val="21"/>
              </w:rPr>
            </w:pPr>
            <w:r>
              <w:rPr>
                <w:sz w:val="22"/>
                <w:szCs w:val="21"/>
              </w:rPr>
              <w:t>□</w:t>
            </w:r>
            <w:r>
              <w:rPr>
                <w:szCs w:val="21"/>
              </w:rPr>
              <w:t>不通过</w:t>
            </w:r>
          </w:p>
        </w:tc>
        <w:tc>
          <w:tcPr>
            <w:tcW w:w="94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rFonts w:ascii="宋体" w:hAnsi="宋体" w:cs="宋体"/>
                <w:sz w:val="24"/>
              </w:rPr>
            </w:pPr>
            <w:r>
              <w:t>第（</w:t>
            </w:r>
            <w:r>
              <w:rPr>
                <w:rFonts w:hint="eastAsia"/>
              </w:rPr>
              <w:t xml:space="preserve">  </w:t>
            </w:r>
            <w: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57" w:type="dxa"/>
            <w:left w:w="120" w:type="dxa"/>
            <w:bottom w:w="57" w:type="dxa"/>
            <w:right w:w="120" w:type="dxa"/>
          </w:tblCellMar>
        </w:tblPrEx>
        <w:trPr>
          <w:trHeight w:val="798" w:hRule="exact"/>
        </w:trPr>
        <w:tc>
          <w:tcPr>
            <w:tcW w:w="832" w:type="dxa"/>
            <w:vMerge w:val="continue"/>
            <w:tcBorders>
              <w:left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rFonts w:ascii="宋体" w:hAnsi="宋体" w:cs="宋体"/>
                <w:sz w:val="24"/>
              </w:rPr>
            </w:pPr>
          </w:p>
        </w:tc>
        <w:tc>
          <w:tcPr>
            <w:tcW w:w="7197"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left"/>
              <w:rPr>
                <w:rFonts w:ascii="宋体" w:hAnsi="宋体" w:cs="宋体"/>
                <w:szCs w:val="21"/>
              </w:rPr>
            </w:pPr>
            <w:r>
              <w:rPr>
                <w:rFonts w:hint="eastAsia" w:ascii="宋体" w:hAnsi="宋体" w:cs="宋体"/>
                <w:szCs w:val="21"/>
              </w:rPr>
              <w:t>2.投标人满足《中华人民共和国政府采购法》第二十二条第一款的条件（由供应商在《政府采购投标及履约承诺函》中作出声明）；</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szCs w:val="21"/>
              </w:rPr>
            </w:pPr>
            <w:r>
              <w:rPr>
                <w:sz w:val="22"/>
                <w:szCs w:val="21"/>
              </w:rPr>
              <w:t>□</w:t>
            </w:r>
            <w:r>
              <w:rPr>
                <w:szCs w:val="21"/>
              </w:rPr>
              <w:t>通过</w:t>
            </w:r>
          </w:p>
          <w:p>
            <w:pPr>
              <w:keepNext w:val="0"/>
              <w:keepLines w:val="0"/>
              <w:pageBreakBefore w:val="0"/>
              <w:widowControl w:val="0"/>
              <w:kinsoku/>
              <w:overflowPunct/>
              <w:topLinePunct w:val="0"/>
              <w:bidi w:val="0"/>
              <w:spacing w:line="20" w:lineRule="atLeast"/>
              <w:rPr>
                <w:rFonts w:ascii="宋体" w:hAnsi="宋体" w:cs="宋体"/>
                <w:szCs w:val="21"/>
              </w:rPr>
            </w:pPr>
            <w:r>
              <w:rPr>
                <w:sz w:val="22"/>
                <w:szCs w:val="21"/>
              </w:rPr>
              <w:t>□</w:t>
            </w:r>
            <w:r>
              <w:rPr>
                <w:szCs w:val="21"/>
              </w:rPr>
              <w:t>不通过</w:t>
            </w:r>
          </w:p>
        </w:tc>
        <w:tc>
          <w:tcPr>
            <w:tcW w:w="94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rFonts w:ascii="宋体" w:hAnsi="宋体" w:cs="宋体"/>
                <w:sz w:val="24"/>
              </w:rPr>
            </w:pPr>
            <w:r>
              <w:t>第（</w:t>
            </w:r>
            <w:r>
              <w:rPr>
                <w:rFonts w:hint="eastAsia"/>
              </w:rPr>
              <w:t xml:space="preserve">  </w:t>
            </w:r>
            <w: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57" w:type="dxa"/>
            <w:left w:w="120" w:type="dxa"/>
            <w:bottom w:w="57" w:type="dxa"/>
            <w:right w:w="120" w:type="dxa"/>
          </w:tblCellMar>
        </w:tblPrEx>
        <w:trPr>
          <w:trHeight w:val="1090" w:hRule="exact"/>
        </w:trPr>
        <w:tc>
          <w:tcPr>
            <w:tcW w:w="832" w:type="dxa"/>
            <w:vMerge w:val="continue"/>
            <w:tcBorders>
              <w:left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rFonts w:ascii="宋体" w:hAnsi="宋体" w:cs="宋体"/>
                <w:sz w:val="24"/>
              </w:rPr>
            </w:pPr>
          </w:p>
        </w:tc>
        <w:tc>
          <w:tcPr>
            <w:tcW w:w="7197"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left"/>
              <w:rPr>
                <w:rFonts w:ascii="宋体" w:hAnsi="宋体" w:cs="宋体"/>
                <w:szCs w:val="21"/>
              </w:rPr>
            </w:pPr>
            <w:r>
              <w:rPr>
                <w:rFonts w:hint="eastAsia" w:ascii="宋体" w:hAnsi="宋体" w:cs="宋体"/>
                <w:szCs w:val="21"/>
              </w:rPr>
              <w:t>3.参与本项目投标前三年内，在经营活动中没有重大违法记录；参与本项目政府采购活动时不存在被有关部门禁止参与政府采购活动且在有效期内的情况（由供应商在《政府采购投标及履约承诺函》中作出声明）；</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szCs w:val="21"/>
              </w:rPr>
            </w:pPr>
            <w:r>
              <w:rPr>
                <w:sz w:val="22"/>
                <w:szCs w:val="21"/>
              </w:rPr>
              <w:t>□</w:t>
            </w:r>
            <w:r>
              <w:rPr>
                <w:szCs w:val="21"/>
              </w:rPr>
              <w:t xml:space="preserve">通过 </w:t>
            </w:r>
          </w:p>
          <w:p>
            <w:pPr>
              <w:keepNext w:val="0"/>
              <w:keepLines w:val="0"/>
              <w:pageBreakBefore w:val="0"/>
              <w:widowControl w:val="0"/>
              <w:kinsoku/>
              <w:overflowPunct/>
              <w:topLinePunct w:val="0"/>
              <w:bidi w:val="0"/>
              <w:spacing w:line="20" w:lineRule="atLeast"/>
              <w:rPr>
                <w:szCs w:val="21"/>
              </w:rPr>
            </w:pPr>
            <w:r>
              <w:rPr>
                <w:sz w:val="22"/>
                <w:szCs w:val="21"/>
              </w:rPr>
              <w:t>□</w:t>
            </w:r>
            <w:r>
              <w:rPr>
                <w:szCs w:val="21"/>
              </w:rPr>
              <w:t>不通过</w:t>
            </w:r>
          </w:p>
        </w:tc>
        <w:tc>
          <w:tcPr>
            <w:tcW w:w="94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rFonts w:ascii="宋体" w:hAnsi="宋体" w:cs="宋体"/>
                <w:sz w:val="24"/>
              </w:rPr>
            </w:pPr>
            <w:r>
              <w:t>第（</w:t>
            </w:r>
            <w:r>
              <w:rPr>
                <w:rFonts w:hint="eastAsia"/>
              </w:rPr>
              <w:t xml:space="preserve">  </w:t>
            </w:r>
            <w: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57" w:type="dxa"/>
            <w:left w:w="120" w:type="dxa"/>
            <w:bottom w:w="57" w:type="dxa"/>
            <w:right w:w="120" w:type="dxa"/>
          </w:tblCellMar>
        </w:tblPrEx>
        <w:trPr>
          <w:trHeight w:val="1284" w:hRule="exact"/>
        </w:trPr>
        <w:tc>
          <w:tcPr>
            <w:tcW w:w="832" w:type="dxa"/>
            <w:vMerge w:val="continue"/>
            <w:tcBorders>
              <w:left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rFonts w:ascii="宋体" w:hAnsi="宋体" w:cs="宋体"/>
                <w:sz w:val="24"/>
              </w:rPr>
            </w:pPr>
          </w:p>
        </w:tc>
        <w:tc>
          <w:tcPr>
            <w:tcW w:w="7197"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left"/>
              <w:rPr>
                <w:rFonts w:ascii="宋体" w:hAnsi="宋体" w:cs="宋体"/>
                <w:szCs w:val="21"/>
              </w:rPr>
            </w:pPr>
            <w:r>
              <w:rPr>
                <w:rFonts w:hint="eastAsia" w:ascii="宋体" w:hAnsi="宋体" w:cs="宋体"/>
                <w:szCs w:val="21"/>
              </w:rPr>
              <w:t>4.未被列入失信被执行人.重大税收违法案件当事人名单及政府采购严重违法失信行为记录名单（“信用中国”（www.creditchina.gov.cn）“信用服务”栏的“重大税收违法案件当事人名单”.“失信被执行人”，“中国政府采购”（www.ccgp.gov.cn）“政府采购严重违法失信行为记录名单”。</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szCs w:val="21"/>
              </w:rPr>
            </w:pPr>
            <w:r>
              <w:rPr>
                <w:sz w:val="22"/>
                <w:szCs w:val="21"/>
              </w:rPr>
              <w:t>□</w:t>
            </w:r>
            <w:r>
              <w:rPr>
                <w:szCs w:val="21"/>
              </w:rPr>
              <w:t xml:space="preserve">通过 </w:t>
            </w:r>
          </w:p>
          <w:p>
            <w:pPr>
              <w:keepNext w:val="0"/>
              <w:keepLines w:val="0"/>
              <w:pageBreakBefore w:val="0"/>
              <w:widowControl w:val="0"/>
              <w:kinsoku/>
              <w:overflowPunct/>
              <w:topLinePunct w:val="0"/>
              <w:bidi w:val="0"/>
              <w:spacing w:line="20" w:lineRule="atLeast"/>
              <w:rPr>
                <w:szCs w:val="21"/>
              </w:rPr>
            </w:pPr>
            <w:r>
              <w:rPr>
                <w:sz w:val="22"/>
                <w:szCs w:val="21"/>
              </w:rPr>
              <w:t>□</w:t>
            </w:r>
            <w:r>
              <w:rPr>
                <w:szCs w:val="21"/>
              </w:rPr>
              <w:t>不通过</w:t>
            </w:r>
          </w:p>
        </w:tc>
        <w:tc>
          <w:tcPr>
            <w:tcW w:w="94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rFonts w:ascii="宋体" w:hAnsi="宋体" w:cs="宋体"/>
                <w:sz w:val="24"/>
              </w:rPr>
            </w:pPr>
            <w:r>
              <w:t>第（</w:t>
            </w:r>
            <w:r>
              <w:rPr>
                <w:rFonts w:hint="eastAsia"/>
              </w:rPr>
              <w:t xml:space="preserve">  </w:t>
            </w:r>
            <w: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57" w:type="dxa"/>
            <w:left w:w="120" w:type="dxa"/>
            <w:bottom w:w="57" w:type="dxa"/>
            <w:right w:w="120" w:type="dxa"/>
          </w:tblCellMar>
        </w:tblPrEx>
        <w:trPr>
          <w:trHeight w:val="770" w:hRule="exact"/>
        </w:trPr>
        <w:tc>
          <w:tcPr>
            <w:tcW w:w="832" w:type="dxa"/>
            <w:vMerge w:val="continue"/>
            <w:tcBorders>
              <w:left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rFonts w:ascii="宋体" w:hAnsi="宋体" w:cs="宋体"/>
                <w:sz w:val="24"/>
              </w:rPr>
            </w:pPr>
          </w:p>
        </w:tc>
        <w:tc>
          <w:tcPr>
            <w:tcW w:w="7197"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left"/>
              <w:rPr>
                <w:rFonts w:ascii="宋体" w:hAnsi="宋体" w:cs="宋体"/>
                <w:szCs w:val="21"/>
              </w:rPr>
            </w:pPr>
            <w:r>
              <w:rPr>
                <w:rFonts w:hint="eastAsia" w:ascii="宋体" w:hAnsi="宋体" w:cs="宋体"/>
                <w:szCs w:val="21"/>
              </w:rPr>
              <w:t>5.本项目不接受联合体投标（由供应商在《政府采购投标及履约承诺函》中作出声明）；</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szCs w:val="21"/>
              </w:rPr>
            </w:pPr>
            <w:r>
              <w:rPr>
                <w:sz w:val="22"/>
                <w:szCs w:val="21"/>
              </w:rPr>
              <w:t>□</w:t>
            </w:r>
            <w:r>
              <w:rPr>
                <w:szCs w:val="21"/>
              </w:rPr>
              <w:t xml:space="preserve">通过 </w:t>
            </w:r>
          </w:p>
          <w:p>
            <w:pPr>
              <w:keepNext w:val="0"/>
              <w:keepLines w:val="0"/>
              <w:pageBreakBefore w:val="0"/>
              <w:widowControl w:val="0"/>
              <w:kinsoku/>
              <w:overflowPunct/>
              <w:topLinePunct w:val="0"/>
              <w:bidi w:val="0"/>
              <w:spacing w:line="20" w:lineRule="atLeast"/>
              <w:rPr>
                <w:szCs w:val="21"/>
              </w:rPr>
            </w:pPr>
            <w:r>
              <w:rPr>
                <w:sz w:val="22"/>
                <w:szCs w:val="21"/>
              </w:rPr>
              <w:t>□</w:t>
            </w:r>
            <w:r>
              <w:rPr>
                <w:szCs w:val="21"/>
              </w:rPr>
              <w:t>不通过</w:t>
            </w:r>
          </w:p>
        </w:tc>
        <w:tc>
          <w:tcPr>
            <w:tcW w:w="94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rFonts w:ascii="宋体" w:hAnsi="宋体" w:cs="宋体"/>
                <w:sz w:val="24"/>
              </w:rPr>
            </w:pPr>
            <w:r>
              <w:t>第（</w:t>
            </w:r>
            <w:r>
              <w:rPr>
                <w:rFonts w:hint="eastAsia"/>
              </w:rPr>
              <w:t xml:space="preserve">  </w:t>
            </w:r>
            <w: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57" w:type="dxa"/>
            <w:left w:w="120" w:type="dxa"/>
            <w:bottom w:w="57" w:type="dxa"/>
            <w:right w:w="120" w:type="dxa"/>
          </w:tblCellMar>
        </w:tblPrEx>
        <w:trPr>
          <w:trHeight w:val="971" w:hRule="exact"/>
        </w:trPr>
        <w:tc>
          <w:tcPr>
            <w:tcW w:w="832" w:type="dxa"/>
            <w:vMerge w:val="continue"/>
            <w:tcBorders>
              <w:left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rFonts w:ascii="宋体" w:hAnsi="宋体" w:cs="宋体"/>
                <w:sz w:val="24"/>
              </w:rPr>
            </w:pPr>
          </w:p>
        </w:tc>
        <w:tc>
          <w:tcPr>
            <w:tcW w:w="7197"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left"/>
              <w:rPr>
                <w:rFonts w:ascii="宋体" w:hAnsi="宋体" w:cs="宋体"/>
                <w:szCs w:val="21"/>
              </w:rPr>
            </w:pPr>
            <w:r>
              <w:rPr>
                <w:rFonts w:hint="eastAsia" w:ascii="宋体" w:hAnsi="宋体" w:cs="宋体"/>
                <w:szCs w:val="21"/>
              </w:rPr>
              <w:t>6.单位负责人为同一人或者存在直接控股、管理关系的不同供应商，不得参加同一包号响应或者未划分包号的同一采购项目响应（由供应商在《政府采购投标及履约承诺函》中作出声明）；</w:t>
            </w:r>
          </w:p>
          <w:p>
            <w:pPr>
              <w:keepNext w:val="0"/>
              <w:keepLines w:val="0"/>
              <w:pageBreakBefore w:val="0"/>
              <w:widowControl w:val="0"/>
              <w:kinsoku/>
              <w:overflowPunct/>
              <w:topLinePunct w:val="0"/>
              <w:autoSpaceDE w:val="0"/>
              <w:autoSpaceDN w:val="0"/>
              <w:bidi w:val="0"/>
              <w:adjustRightInd w:val="0"/>
              <w:spacing w:line="300" w:lineRule="exact"/>
              <w:jc w:val="left"/>
              <w:rPr>
                <w:rFonts w:ascii="宋体" w:hAnsi="宋体" w:cs="宋体"/>
                <w:color w:val="FF0000"/>
                <w:szCs w:val="21"/>
              </w:rPr>
            </w:pP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szCs w:val="21"/>
              </w:rPr>
            </w:pPr>
            <w:r>
              <w:rPr>
                <w:sz w:val="22"/>
                <w:szCs w:val="21"/>
              </w:rPr>
              <w:t>□</w:t>
            </w:r>
            <w:r>
              <w:rPr>
                <w:szCs w:val="21"/>
              </w:rPr>
              <w:t xml:space="preserve">通过 </w:t>
            </w:r>
          </w:p>
          <w:p>
            <w:pPr>
              <w:keepNext w:val="0"/>
              <w:keepLines w:val="0"/>
              <w:pageBreakBefore w:val="0"/>
              <w:widowControl w:val="0"/>
              <w:kinsoku/>
              <w:overflowPunct/>
              <w:topLinePunct w:val="0"/>
              <w:bidi w:val="0"/>
              <w:spacing w:line="20" w:lineRule="atLeast"/>
              <w:rPr>
                <w:szCs w:val="21"/>
              </w:rPr>
            </w:pPr>
            <w:r>
              <w:rPr>
                <w:sz w:val="22"/>
                <w:szCs w:val="21"/>
              </w:rPr>
              <w:t>□</w:t>
            </w:r>
            <w:r>
              <w:rPr>
                <w:szCs w:val="21"/>
              </w:rPr>
              <w:t>不通过</w:t>
            </w:r>
          </w:p>
        </w:tc>
        <w:tc>
          <w:tcPr>
            <w:tcW w:w="94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rFonts w:ascii="宋体" w:hAnsi="宋体" w:cs="宋体"/>
                <w:sz w:val="24"/>
              </w:rPr>
            </w:pPr>
            <w:r>
              <w:t>第（</w:t>
            </w:r>
            <w:r>
              <w:rPr>
                <w:rFonts w:hint="eastAsia"/>
              </w:rPr>
              <w:t xml:space="preserve">  </w:t>
            </w:r>
            <w: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57" w:type="dxa"/>
            <w:left w:w="120" w:type="dxa"/>
            <w:bottom w:w="57" w:type="dxa"/>
            <w:right w:w="120" w:type="dxa"/>
          </w:tblCellMar>
        </w:tblPrEx>
        <w:trPr>
          <w:trHeight w:val="646" w:hRule="exact"/>
        </w:trPr>
        <w:tc>
          <w:tcPr>
            <w:tcW w:w="832" w:type="dxa"/>
            <w:vMerge w:val="restart"/>
            <w:tcBorders>
              <w:top w:val="outset" w:color="111111" w:sz="6" w:space="0"/>
              <w:left w:val="outset" w:color="111111" w:sz="6" w:space="0"/>
              <w:right w:val="outset" w:color="111111" w:sz="6" w:space="0"/>
            </w:tcBorders>
            <w:textDirection w:val="tbRlV"/>
            <w:vAlign w:val="center"/>
          </w:tcPr>
          <w:p>
            <w:pPr>
              <w:pStyle w:val="21"/>
              <w:keepNext w:val="0"/>
              <w:keepLines w:val="0"/>
              <w:pageBreakBefore w:val="0"/>
              <w:widowControl w:val="0"/>
              <w:kinsoku/>
              <w:overflowPunct/>
              <w:topLinePunct w:val="0"/>
              <w:bidi w:val="0"/>
              <w:spacing w:before="0" w:beforeAutospacing="0" w:after="0" w:afterAutospacing="0" w:line="20" w:lineRule="atLeast"/>
              <w:ind w:left="113" w:right="113"/>
              <w:jc w:val="center"/>
            </w:pPr>
            <w:r>
              <w:rPr>
                <w:rFonts w:hint="eastAsia"/>
                <w:b/>
                <w:bCs/>
              </w:rPr>
              <w:t>符</w:t>
            </w:r>
            <w:r>
              <w:rPr>
                <w:b/>
                <w:bCs/>
              </w:rPr>
              <w:t>合性审查</w:t>
            </w:r>
          </w:p>
        </w:tc>
        <w:tc>
          <w:tcPr>
            <w:tcW w:w="7197"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bidi w:val="0"/>
              <w:spacing w:line="300" w:lineRule="exact"/>
              <w:rPr>
                <w:rFonts w:ascii="宋体" w:hAnsi="宋体" w:cs="宋体"/>
                <w:szCs w:val="21"/>
              </w:rPr>
            </w:pPr>
            <w:r>
              <w:rPr>
                <w:rFonts w:hint="eastAsia" w:ascii="宋体" w:hAnsi="宋体"/>
                <w:color w:val="000000"/>
                <w:szCs w:val="21"/>
              </w:rPr>
              <w:t>1.</w:t>
            </w:r>
            <w:r>
              <w:rPr>
                <w:rFonts w:hint="eastAsia" w:ascii="宋体" w:hAnsi="宋体"/>
                <w:szCs w:val="21"/>
              </w:rPr>
              <w:t>投标报价金额未超过本项目最高限价（</w:t>
            </w:r>
            <w:r>
              <w:rPr>
                <w:rFonts w:hint="eastAsia" w:ascii="宋体" w:hAnsi="宋体"/>
                <w:bCs/>
                <w:szCs w:val="21"/>
              </w:rPr>
              <w:t>采购预算金额</w:t>
            </w:r>
            <w:r>
              <w:rPr>
                <w:rFonts w:hint="eastAsia" w:ascii="宋体" w:hAnsi="宋体"/>
                <w:szCs w:val="21"/>
              </w:rPr>
              <w:t>），不低于投标产品成本价；</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szCs w:val="21"/>
              </w:rPr>
            </w:pPr>
            <w:r>
              <w:rPr>
                <w:sz w:val="22"/>
                <w:szCs w:val="21"/>
              </w:rPr>
              <w:t>□</w:t>
            </w:r>
            <w:r>
              <w:rPr>
                <w:szCs w:val="21"/>
              </w:rPr>
              <w:t xml:space="preserve">通过 </w:t>
            </w:r>
          </w:p>
          <w:p>
            <w:pPr>
              <w:keepNext w:val="0"/>
              <w:keepLines w:val="0"/>
              <w:pageBreakBefore w:val="0"/>
              <w:widowControl w:val="0"/>
              <w:kinsoku/>
              <w:overflowPunct/>
              <w:topLinePunct w:val="0"/>
              <w:bidi w:val="0"/>
              <w:spacing w:line="20" w:lineRule="atLeast"/>
              <w:rPr>
                <w:rFonts w:ascii="宋体" w:hAnsi="宋体" w:cs="宋体"/>
                <w:szCs w:val="21"/>
              </w:rPr>
            </w:pPr>
            <w:r>
              <w:rPr>
                <w:sz w:val="22"/>
                <w:szCs w:val="21"/>
              </w:rPr>
              <w:t>□</w:t>
            </w:r>
            <w:r>
              <w:rPr>
                <w:szCs w:val="21"/>
              </w:rPr>
              <w:t>不通过</w:t>
            </w:r>
          </w:p>
        </w:tc>
        <w:tc>
          <w:tcPr>
            <w:tcW w:w="94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rFonts w:ascii="宋体" w:hAnsi="宋体" w:cs="宋体"/>
                <w:sz w:val="24"/>
              </w:rPr>
            </w:pPr>
            <w:r>
              <w:t>第（</w:t>
            </w:r>
            <w:r>
              <w:rPr>
                <w:rFonts w:hint="eastAsia"/>
              </w:rPr>
              <w:t xml:space="preserve">  </w:t>
            </w:r>
            <w: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57" w:type="dxa"/>
            <w:left w:w="120" w:type="dxa"/>
            <w:bottom w:w="57" w:type="dxa"/>
            <w:right w:w="120" w:type="dxa"/>
          </w:tblCellMar>
        </w:tblPrEx>
        <w:trPr>
          <w:trHeight w:val="1022" w:hRule="exact"/>
        </w:trPr>
        <w:tc>
          <w:tcPr>
            <w:tcW w:w="832" w:type="dxa"/>
            <w:vMerge w:val="continue"/>
            <w:tcBorders>
              <w:left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rFonts w:ascii="宋体" w:hAnsi="宋体" w:cs="宋体"/>
                <w:sz w:val="24"/>
              </w:rPr>
            </w:pPr>
          </w:p>
        </w:tc>
        <w:tc>
          <w:tcPr>
            <w:tcW w:w="7197"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left"/>
              <w:rPr>
                <w:rFonts w:ascii="宋体" w:hAnsi="宋体" w:cs="宋体"/>
                <w:szCs w:val="21"/>
              </w:rPr>
            </w:pPr>
            <w:r>
              <w:rPr>
                <w:rFonts w:hint="eastAsia" w:ascii="宋体" w:hAnsi="宋体" w:cs="宋体"/>
                <w:szCs w:val="21"/>
              </w:rPr>
              <w:t>2.投标文件的编写符合招标文件的要求，投标文件按招标文件目录内容及格式要求编排有序，标注页码，文件内容基本完整，无重大错漏，</w:t>
            </w:r>
            <w:r>
              <w:rPr>
                <w:rFonts w:hint="eastAsia" w:ascii="宋体" w:hAnsi="宋体" w:cs="宋体"/>
                <w:bCs/>
                <w:kern w:val="0"/>
                <w:szCs w:val="21"/>
              </w:rPr>
              <w:t>并按要求签署；</w:t>
            </w:r>
            <w:r>
              <w:rPr>
                <w:rFonts w:ascii="宋体" w:hAnsi="宋体" w:cs="宋体"/>
                <w:szCs w:val="21"/>
              </w:rPr>
              <w:t>原件每页加盖公章</w:t>
            </w:r>
            <w:r>
              <w:rPr>
                <w:rFonts w:hint="eastAsia" w:ascii="宋体" w:hAnsi="宋体" w:cs="宋体"/>
                <w:szCs w:val="21"/>
              </w:rPr>
              <w:t>；</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szCs w:val="21"/>
              </w:rPr>
            </w:pPr>
            <w:r>
              <w:rPr>
                <w:sz w:val="22"/>
                <w:szCs w:val="21"/>
              </w:rPr>
              <w:t>□</w:t>
            </w:r>
            <w:r>
              <w:rPr>
                <w:szCs w:val="21"/>
              </w:rPr>
              <w:t>通过</w:t>
            </w:r>
          </w:p>
          <w:p>
            <w:pPr>
              <w:keepNext w:val="0"/>
              <w:keepLines w:val="0"/>
              <w:pageBreakBefore w:val="0"/>
              <w:widowControl w:val="0"/>
              <w:kinsoku/>
              <w:overflowPunct/>
              <w:topLinePunct w:val="0"/>
              <w:bidi w:val="0"/>
              <w:spacing w:line="20" w:lineRule="atLeast"/>
              <w:rPr>
                <w:rFonts w:ascii="宋体" w:hAnsi="宋体" w:cs="宋体"/>
                <w:szCs w:val="21"/>
              </w:rPr>
            </w:pPr>
            <w:r>
              <w:rPr>
                <w:sz w:val="22"/>
                <w:szCs w:val="21"/>
              </w:rPr>
              <w:t>□</w:t>
            </w:r>
            <w:r>
              <w:rPr>
                <w:szCs w:val="21"/>
              </w:rPr>
              <w:t>不通过</w:t>
            </w:r>
          </w:p>
        </w:tc>
        <w:tc>
          <w:tcPr>
            <w:tcW w:w="94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rFonts w:ascii="宋体" w:hAnsi="宋体" w:cs="宋体"/>
                <w:sz w:val="24"/>
              </w:rPr>
            </w:pPr>
            <w:r>
              <w:t>第（</w:t>
            </w:r>
            <w:r>
              <w:rPr>
                <w:rFonts w:hint="eastAsia"/>
              </w:rPr>
              <w:t xml:space="preserve">  </w:t>
            </w:r>
            <w: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57" w:type="dxa"/>
            <w:left w:w="120" w:type="dxa"/>
            <w:bottom w:w="57" w:type="dxa"/>
            <w:right w:w="120" w:type="dxa"/>
          </w:tblCellMar>
        </w:tblPrEx>
        <w:trPr>
          <w:trHeight w:val="701" w:hRule="exact"/>
        </w:trPr>
        <w:tc>
          <w:tcPr>
            <w:tcW w:w="832" w:type="dxa"/>
            <w:vMerge w:val="continue"/>
            <w:tcBorders>
              <w:left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rFonts w:ascii="宋体" w:hAnsi="宋体" w:cs="宋体"/>
                <w:sz w:val="24"/>
              </w:rPr>
            </w:pPr>
          </w:p>
        </w:tc>
        <w:tc>
          <w:tcPr>
            <w:tcW w:w="7197"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bidi w:val="0"/>
              <w:spacing w:line="300" w:lineRule="exact"/>
              <w:rPr>
                <w:rFonts w:ascii="宋体" w:hAnsi="宋体" w:cs="宋体"/>
                <w:bCs/>
                <w:kern w:val="0"/>
                <w:szCs w:val="21"/>
              </w:rPr>
            </w:pPr>
            <w:r>
              <w:rPr>
                <w:rFonts w:hint="eastAsia" w:ascii="宋体" w:hAnsi="宋体" w:cs="宋体"/>
                <w:szCs w:val="21"/>
              </w:rPr>
              <w:t>3.</w:t>
            </w:r>
            <w:r>
              <w:rPr>
                <w:rFonts w:hint="eastAsia" w:ascii="宋体" w:hAnsi="宋体" w:cs="宋体"/>
                <w:bCs/>
                <w:kern w:val="0"/>
                <w:szCs w:val="21"/>
              </w:rPr>
              <w:t>投标文件完全满足招标文件的实质性条款（即标注★号条款）无负偏离；</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szCs w:val="21"/>
              </w:rPr>
            </w:pPr>
            <w:r>
              <w:rPr>
                <w:sz w:val="22"/>
                <w:szCs w:val="21"/>
              </w:rPr>
              <w:t>□</w:t>
            </w:r>
            <w:r>
              <w:rPr>
                <w:szCs w:val="21"/>
              </w:rPr>
              <w:t>通过</w:t>
            </w:r>
          </w:p>
          <w:p>
            <w:pPr>
              <w:keepNext w:val="0"/>
              <w:keepLines w:val="0"/>
              <w:pageBreakBefore w:val="0"/>
              <w:widowControl w:val="0"/>
              <w:kinsoku/>
              <w:overflowPunct/>
              <w:topLinePunct w:val="0"/>
              <w:bidi w:val="0"/>
              <w:spacing w:line="20" w:lineRule="atLeast"/>
              <w:rPr>
                <w:szCs w:val="21"/>
              </w:rPr>
            </w:pPr>
            <w:r>
              <w:rPr>
                <w:sz w:val="22"/>
                <w:szCs w:val="21"/>
              </w:rPr>
              <w:t>□</w:t>
            </w:r>
            <w:r>
              <w:rPr>
                <w:szCs w:val="21"/>
              </w:rPr>
              <w:t>不通过</w:t>
            </w:r>
          </w:p>
        </w:tc>
        <w:tc>
          <w:tcPr>
            <w:tcW w:w="94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rFonts w:ascii="宋体" w:hAnsi="宋体" w:cs="宋体"/>
                <w:sz w:val="24"/>
              </w:rPr>
            </w:pPr>
            <w:r>
              <w:t>第（</w:t>
            </w:r>
            <w:r>
              <w:rPr>
                <w:rFonts w:hint="eastAsia"/>
              </w:rPr>
              <w:t xml:space="preserve">  </w:t>
            </w:r>
            <w: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57" w:type="dxa"/>
            <w:left w:w="120" w:type="dxa"/>
            <w:bottom w:w="57" w:type="dxa"/>
            <w:right w:w="120" w:type="dxa"/>
          </w:tblCellMar>
        </w:tblPrEx>
        <w:trPr>
          <w:trHeight w:val="654" w:hRule="exact"/>
        </w:trPr>
        <w:tc>
          <w:tcPr>
            <w:tcW w:w="832" w:type="dxa"/>
            <w:vMerge w:val="continue"/>
            <w:tcBorders>
              <w:left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rFonts w:ascii="宋体" w:hAnsi="宋体" w:cs="宋体"/>
                <w:sz w:val="24"/>
              </w:rPr>
            </w:pPr>
          </w:p>
        </w:tc>
        <w:tc>
          <w:tcPr>
            <w:tcW w:w="7197"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bidi w:val="0"/>
              <w:snapToGrid w:val="0"/>
              <w:spacing w:line="300" w:lineRule="exact"/>
              <w:jc w:val="left"/>
              <w:rPr>
                <w:rFonts w:ascii="宋体" w:hAnsi="宋体" w:cs="宋体"/>
                <w:bCs/>
                <w:kern w:val="0"/>
                <w:szCs w:val="21"/>
              </w:rPr>
            </w:pPr>
            <w:r>
              <w:rPr>
                <w:rFonts w:hint="eastAsia" w:ascii="宋体" w:hAnsi="宋体" w:cs="宋体"/>
                <w:bCs/>
                <w:kern w:val="0"/>
                <w:szCs w:val="21"/>
              </w:rPr>
              <w:t>4.投标人提供技术、商务等要求偏离表；</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szCs w:val="21"/>
              </w:rPr>
            </w:pPr>
            <w:r>
              <w:rPr>
                <w:sz w:val="22"/>
                <w:szCs w:val="21"/>
              </w:rPr>
              <w:t>□</w:t>
            </w:r>
            <w:r>
              <w:rPr>
                <w:szCs w:val="21"/>
              </w:rPr>
              <w:t xml:space="preserve">通过 </w:t>
            </w:r>
          </w:p>
          <w:p>
            <w:pPr>
              <w:keepNext w:val="0"/>
              <w:keepLines w:val="0"/>
              <w:pageBreakBefore w:val="0"/>
              <w:widowControl w:val="0"/>
              <w:kinsoku/>
              <w:overflowPunct/>
              <w:topLinePunct w:val="0"/>
              <w:bidi w:val="0"/>
              <w:spacing w:line="20" w:lineRule="atLeast"/>
              <w:rPr>
                <w:rFonts w:ascii="宋体" w:hAnsi="宋体" w:cs="宋体"/>
                <w:szCs w:val="21"/>
              </w:rPr>
            </w:pPr>
            <w:r>
              <w:rPr>
                <w:sz w:val="22"/>
                <w:szCs w:val="21"/>
              </w:rPr>
              <w:t>□</w:t>
            </w:r>
            <w:r>
              <w:rPr>
                <w:szCs w:val="21"/>
              </w:rPr>
              <w:t>不通过</w:t>
            </w:r>
          </w:p>
        </w:tc>
        <w:tc>
          <w:tcPr>
            <w:tcW w:w="94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val="0"/>
              <w:kinsoku/>
              <w:overflowPunct/>
              <w:topLinePunct w:val="0"/>
              <w:bidi w:val="0"/>
              <w:spacing w:line="20" w:lineRule="atLeast"/>
              <w:rPr>
                <w:rFonts w:ascii="宋体" w:hAnsi="宋体" w:cs="宋体"/>
                <w:sz w:val="24"/>
              </w:rPr>
            </w:pPr>
            <w:r>
              <w:t>第（</w:t>
            </w:r>
            <w:r>
              <w:rPr>
                <w:rFonts w:hint="eastAsia"/>
              </w:rPr>
              <w:t xml:space="preserve">  </w:t>
            </w:r>
            <w:r>
              <w:t>）页</w:t>
            </w:r>
          </w:p>
        </w:tc>
      </w:tr>
    </w:tbl>
    <w:p>
      <w:pPr>
        <w:pStyle w:val="30"/>
        <w:keepNext w:val="0"/>
        <w:keepLines w:val="0"/>
        <w:pageBreakBefore w:val="0"/>
        <w:widowControl w:val="0"/>
        <w:kinsoku/>
        <w:overflowPunct/>
        <w:topLinePunct w:val="0"/>
        <w:bidi w:val="0"/>
      </w:pPr>
    </w:p>
    <w:p>
      <w:pPr>
        <w:keepNext w:val="0"/>
        <w:keepLines w:val="0"/>
        <w:pageBreakBefore w:val="0"/>
        <w:widowControl w:val="0"/>
        <w:kinsoku/>
        <w:overflowPunct/>
        <w:topLinePunct w:val="0"/>
        <w:bidi w:val="0"/>
      </w:pPr>
      <w:r>
        <w:br w:type="page"/>
      </w:r>
    </w:p>
    <w:p>
      <w:pPr>
        <w:pStyle w:val="30"/>
        <w:keepNext w:val="0"/>
        <w:keepLines w:val="0"/>
        <w:pageBreakBefore w:val="0"/>
        <w:widowControl w:val="0"/>
        <w:kinsoku/>
        <w:overflowPunct/>
        <w:topLinePunct w:val="0"/>
        <w:bidi w:val="0"/>
      </w:pPr>
    </w:p>
    <w:bookmarkEnd w:id="24"/>
    <w:p>
      <w:pPr>
        <w:pStyle w:val="3"/>
        <w:keepNext w:val="0"/>
        <w:keepLines w:val="0"/>
        <w:pageBreakBefore w:val="0"/>
        <w:widowControl w:val="0"/>
        <w:kinsoku/>
        <w:overflowPunct/>
        <w:topLinePunct w:val="0"/>
        <w:bidi w:val="0"/>
        <w:spacing w:before="0" w:after="0" w:line="240" w:lineRule="auto"/>
        <w:jc w:val="center"/>
        <w:rPr>
          <w:rFonts w:ascii="黑体" w:hAnsi="黑体" w:eastAsia="黑体"/>
          <w:bCs w:val="0"/>
          <w:color w:val="000000"/>
          <w:kern w:val="2"/>
          <w:sz w:val="32"/>
          <w:szCs w:val="32"/>
        </w:rPr>
      </w:pPr>
      <w:bookmarkStart w:id="25" w:name="_Toc6034"/>
      <w:r>
        <w:rPr>
          <w:rFonts w:hint="eastAsia" w:ascii="黑体" w:hAnsi="黑体" w:eastAsia="黑体"/>
          <w:bCs w:val="0"/>
          <w:color w:val="000000"/>
          <w:kern w:val="2"/>
          <w:sz w:val="32"/>
          <w:szCs w:val="32"/>
        </w:rPr>
        <w:t>2、投标函</w:t>
      </w:r>
      <w:bookmarkEnd w:id="25"/>
    </w:p>
    <w:p>
      <w:pPr>
        <w:keepNext w:val="0"/>
        <w:keepLines w:val="0"/>
        <w:pageBreakBefore w:val="0"/>
        <w:widowControl w:val="0"/>
        <w:kinsoku/>
        <w:overflowPunct/>
        <w:topLinePunct w:val="0"/>
        <w:bidi w:val="0"/>
        <w:spacing w:line="360" w:lineRule="atLeast"/>
        <w:ind w:left="-1"/>
        <w:jc w:val="left"/>
        <w:rPr>
          <w:rFonts w:ascii="宋体" w:hAnsi="宋体" w:cs="Arial"/>
          <w:color w:val="000000"/>
          <w:kern w:val="0"/>
          <w:szCs w:val="21"/>
        </w:rPr>
      </w:pPr>
    </w:p>
    <w:p>
      <w:pPr>
        <w:keepNext w:val="0"/>
        <w:keepLines w:val="0"/>
        <w:pageBreakBefore w:val="0"/>
        <w:widowControl w:val="0"/>
        <w:kinsoku/>
        <w:overflowPunct/>
        <w:topLinePunct w:val="0"/>
        <w:bidi w:val="0"/>
        <w:spacing w:line="360" w:lineRule="atLeast"/>
        <w:ind w:left="-1"/>
        <w:jc w:val="left"/>
        <w:rPr>
          <w:rFonts w:ascii="宋体" w:hAnsi="宋体" w:cs="Arial"/>
          <w:color w:val="000000"/>
          <w:kern w:val="0"/>
          <w:szCs w:val="21"/>
        </w:rPr>
      </w:pPr>
      <w:r>
        <w:rPr>
          <w:rFonts w:hint="eastAsia" w:ascii="宋体" w:hAnsi="宋体" w:cs="Arial"/>
          <w:color w:val="000000"/>
          <w:kern w:val="0"/>
          <w:szCs w:val="21"/>
        </w:rPr>
        <w:t>深圳市宝安区妇幼保健院：</w:t>
      </w:r>
    </w:p>
    <w:p>
      <w:pPr>
        <w:keepNext w:val="0"/>
        <w:keepLines w:val="0"/>
        <w:pageBreakBefore w:val="0"/>
        <w:widowControl w:val="0"/>
        <w:kinsoku/>
        <w:overflowPunct/>
        <w:topLinePunct w:val="0"/>
        <w:bidi w:val="0"/>
        <w:spacing w:line="360" w:lineRule="atLeast"/>
        <w:ind w:left="-1" w:firstLine="420" w:firstLineChars="200"/>
        <w:jc w:val="left"/>
        <w:rPr>
          <w:rFonts w:ascii="宋体" w:hAnsi="宋体" w:cs="Arial"/>
          <w:color w:val="000000"/>
          <w:kern w:val="0"/>
          <w:szCs w:val="21"/>
        </w:rPr>
      </w:pPr>
      <w:r>
        <w:rPr>
          <w:rFonts w:hint="eastAsia" w:ascii="宋体" w:hAnsi="宋体" w:cs="Arial"/>
          <w:color w:val="000000"/>
          <w:kern w:val="0"/>
          <w:szCs w:val="21"/>
          <w:u w:val="single"/>
        </w:rPr>
        <w:t>(投标单位全称)</w:t>
      </w:r>
      <w:r>
        <w:rPr>
          <w:rFonts w:hint="eastAsia" w:ascii="宋体" w:hAnsi="宋体" w:cs="Arial"/>
          <w:color w:val="000000"/>
          <w:kern w:val="0"/>
          <w:szCs w:val="21"/>
        </w:rPr>
        <w:t>授权</w:t>
      </w:r>
      <w:r>
        <w:rPr>
          <w:rFonts w:hint="eastAsia" w:ascii="宋体" w:hAnsi="宋体" w:cs="Arial"/>
          <w:color w:val="000000"/>
          <w:kern w:val="0"/>
          <w:szCs w:val="21"/>
          <w:u w:val="single"/>
        </w:rPr>
        <w:t>（全名、职务）</w:t>
      </w:r>
      <w:r>
        <w:rPr>
          <w:rFonts w:hint="eastAsia" w:ascii="宋体" w:hAnsi="宋体" w:cs="Arial"/>
          <w:color w:val="000000"/>
          <w:kern w:val="0"/>
          <w:szCs w:val="21"/>
        </w:rPr>
        <w:t>为全权代表，参加贵方组织的</w:t>
      </w:r>
      <w:r>
        <w:rPr>
          <w:rFonts w:hint="eastAsia" w:ascii="宋体" w:hAnsi="宋体" w:cs="Arial"/>
          <w:color w:val="000000"/>
          <w:kern w:val="0"/>
          <w:szCs w:val="21"/>
          <w:u w:val="single"/>
        </w:rPr>
        <w:t xml:space="preserve">  </w:t>
      </w:r>
      <w:r>
        <w:rPr>
          <w:rFonts w:ascii="宋体" w:hAnsi="宋体" w:cs="Arial"/>
          <w:color w:val="000000"/>
          <w:kern w:val="0"/>
          <w:szCs w:val="21"/>
          <w:u w:val="single"/>
        </w:rPr>
        <w:t xml:space="preserve">              </w:t>
      </w:r>
      <w:r>
        <w:rPr>
          <w:rFonts w:hint="eastAsia" w:ascii="宋体" w:hAnsi="宋体" w:cs="Arial"/>
          <w:color w:val="000000"/>
          <w:kern w:val="0"/>
          <w:szCs w:val="21"/>
        </w:rPr>
        <w:t>谈判活动并投标。为此：</w:t>
      </w:r>
    </w:p>
    <w:p>
      <w:pPr>
        <w:pStyle w:val="31"/>
        <w:keepNext w:val="0"/>
        <w:keepLines w:val="0"/>
        <w:pageBreakBefore w:val="0"/>
        <w:widowControl w:val="0"/>
        <w:kinsoku/>
        <w:overflowPunct/>
        <w:topLinePunct w:val="0"/>
        <w:bidi w:val="0"/>
        <w:ind w:firstLine="420"/>
      </w:pPr>
      <w:r>
        <w:rPr>
          <w:rFonts w:hint="eastAsia"/>
        </w:rPr>
        <w:t>1、我方已详细阅读了全部谈判文件，愿意接受招标文件的各项要求，投标人必须放弃在此方面提出含糊意见或误解的一切权力。</w:t>
      </w:r>
    </w:p>
    <w:p>
      <w:pPr>
        <w:pStyle w:val="31"/>
        <w:keepNext w:val="0"/>
        <w:keepLines w:val="0"/>
        <w:pageBreakBefore w:val="0"/>
        <w:widowControl w:val="0"/>
        <w:kinsoku/>
        <w:overflowPunct/>
        <w:topLinePunct w:val="0"/>
        <w:bidi w:val="0"/>
        <w:ind w:firstLine="420"/>
        <w:rPr>
          <w:rFonts w:ascii="宋体" w:hAnsi="宋体" w:cs="Arial"/>
          <w:color w:val="000000"/>
          <w:szCs w:val="21"/>
        </w:rPr>
      </w:pPr>
      <w:r>
        <w:rPr>
          <w:rFonts w:hint="eastAsia"/>
        </w:rPr>
        <w:t>2、我方提供招标文件要求的全部资料，并保证其真实性、合法性。</w:t>
      </w:r>
    </w:p>
    <w:p>
      <w:pPr>
        <w:keepNext w:val="0"/>
        <w:keepLines w:val="0"/>
        <w:pageBreakBefore w:val="0"/>
        <w:widowControl w:val="0"/>
        <w:kinsoku/>
        <w:overflowPunct/>
        <w:topLinePunct w:val="0"/>
        <w:bidi w:val="0"/>
        <w:spacing w:line="360" w:lineRule="atLeast"/>
        <w:ind w:left="-1" w:firstLine="420" w:firstLineChars="200"/>
        <w:jc w:val="left"/>
        <w:rPr>
          <w:rFonts w:ascii="宋体" w:hAnsi="宋体" w:cs="Arial"/>
          <w:color w:val="000000"/>
          <w:kern w:val="0"/>
          <w:szCs w:val="21"/>
        </w:rPr>
      </w:pPr>
      <w:r>
        <w:rPr>
          <w:rFonts w:hint="eastAsia" w:ascii="宋体" w:hAnsi="宋体" w:cs="Arial"/>
          <w:color w:val="000000"/>
          <w:kern w:val="0"/>
          <w:szCs w:val="21"/>
        </w:rPr>
        <w:t>3、若中标，我方将按投标文件规定履行合同责任和义务。</w:t>
      </w:r>
    </w:p>
    <w:p>
      <w:pPr>
        <w:keepNext w:val="0"/>
        <w:keepLines w:val="0"/>
        <w:pageBreakBefore w:val="0"/>
        <w:widowControl w:val="0"/>
        <w:kinsoku/>
        <w:overflowPunct/>
        <w:topLinePunct w:val="0"/>
        <w:bidi w:val="0"/>
        <w:spacing w:line="360" w:lineRule="atLeast"/>
        <w:ind w:left="-1" w:firstLine="420" w:firstLineChars="200"/>
        <w:jc w:val="left"/>
        <w:rPr>
          <w:rFonts w:ascii="宋体" w:hAnsi="宋体" w:cs="Arial"/>
          <w:color w:val="000000"/>
          <w:kern w:val="0"/>
          <w:szCs w:val="21"/>
        </w:rPr>
      </w:pPr>
      <w:r>
        <w:rPr>
          <w:rFonts w:hint="eastAsia" w:ascii="宋体" w:hAnsi="宋体" w:cs="Arial"/>
          <w:color w:val="000000"/>
          <w:kern w:val="0"/>
          <w:szCs w:val="21"/>
        </w:rPr>
        <w:t>4、投标书自开标日起有效期为</w:t>
      </w:r>
      <w:r>
        <w:rPr>
          <w:rFonts w:ascii="宋体" w:hAnsi="宋体" w:cs="Arial"/>
          <w:color w:val="000000"/>
          <w:kern w:val="0"/>
          <w:szCs w:val="21"/>
          <w:u w:val="single"/>
        </w:rPr>
        <w:t>12</w:t>
      </w:r>
      <w:r>
        <w:rPr>
          <w:rFonts w:hint="eastAsia" w:ascii="宋体" w:hAnsi="宋体" w:cs="Arial"/>
          <w:color w:val="000000"/>
          <w:kern w:val="0"/>
          <w:szCs w:val="21"/>
          <w:u w:val="single"/>
        </w:rPr>
        <w:t>0</w:t>
      </w:r>
      <w:r>
        <w:rPr>
          <w:rFonts w:hint="eastAsia" w:ascii="宋体" w:hAnsi="宋体" w:cs="Arial"/>
          <w:color w:val="000000"/>
          <w:kern w:val="0"/>
          <w:szCs w:val="21"/>
        </w:rPr>
        <w:t>个工作日。</w:t>
      </w:r>
    </w:p>
    <w:p>
      <w:pPr>
        <w:keepNext w:val="0"/>
        <w:keepLines w:val="0"/>
        <w:pageBreakBefore w:val="0"/>
        <w:widowControl w:val="0"/>
        <w:kinsoku/>
        <w:overflowPunct/>
        <w:topLinePunct w:val="0"/>
        <w:bidi w:val="0"/>
        <w:spacing w:line="360" w:lineRule="atLeast"/>
        <w:ind w:left="-1" w:firstLine="420" w:firstLineChars="200"/>
        <w:jc w:val="left"/>
        <w:rPr>
          <w:rFonts w:ascii="宋体" w:hAnsi="宋体" w:cs="Arial"/>
          <w:color w:val="000000"/>
          <w:kern w:val="0"/>
          <w:szCs w:val="21"/>
        </w:rPr>
      </w:pPr>
      <w:r>
        <w:rPr>
          <w:rFonts w:hint="eastAsia" w:ascii="宋体" w:hAnsi="宋体" w:cs="Arial"/>
          <w:color w:val="000000"/>
          <w:kern w:val="0"/>
          <w:szCs w:val="21"/>
        </w:rPr>
        <w:t>5、我方与本竞争性谈判有关的一切正式来往通讯请寄</w:t>
      </w:r>
    </w:p>
    <w:p>
      <w:pPr>
        <w:pStyle w:val="31"/>
        <w:keepNext w:val="0"/>
        <w:keepLines w:val="0"/>
        <w:pageBreakBefore w:val="0"/>
        <w:widowControl w:val="0"/>
        <w:kinsoku/>
        <w:overflowPunct/>
        <w:topLinePunct w:val="0"/>
        <w:bidi w:val="0"/>
        <w:ind w:left="-1" w:firstLine="420"/>
      </w:pPr>
    </w:p>
    <w:p>
      <w:pPr>
        <w:keepNext w:val="0"/>
        <w:keepLines w:val="0"/>
        <w:pageBreakBefore w:val="0"/>
        <w:widowControl w:val="0"/>
        <w:kinsoku/>
        <w:overflowPunct/>
        <w:topLinePunct w:val="0"/>
        <w:bidi w:val="0"/>
        <w:spacing w:line="360" w:lineRule="atLeast"/>
        <w:ind w:left="-1" w:firstLine="630" w:firstLineChars="300"/>
        <w:jc w:val="left"/>
        <w:rPr>
          <w:rFonts w:ascii="宋体" w:hAnsi="宋体" w:cs="Arial"/>
          <w:color w:val="000000"/>
          <w:kern w:val="0"/>
          <w:szCs w:val="21"/>
          <w:u w:val="single"/>
        </w:rPr>
      </w:pPr>
      <w:r>
        <w:rPr>
          <w:rFonts w:hint="eastAsia" w:ascii="宋体" w:hAnsi="宋体" w:cs="Arial"/>
          <w:color w:val="000000"/>
          <w:kern w:val="0"/>
          <w:szCs w:val="21"/>
        </w:rPr>
        <w:t>地址：</w:t>
      </w:r>
      <w:r>
        <w:rPr>
          <w:rFonts w:hint="eastAsia" w:ascii="宋体" w:hAnsi="宋体" w:cs="Arial"/>
          <w:color w:val="000000"/>
          <w:kern w:val="0"/>
          <w:szCs w:val="21"/>
          <w:u w:val="single"/>
        </w:rPr>
        <w:t>             </w:t>
      </w:r>
      <w:r>
        <w:rPr>
          <w:rFonts w:ascii="宋体" w:hAnsi="宋体" w:cs="Arial"/>
          <w:color w:val="000000"/>
          <w:kern w:val="0"/>
          <w:szCs w:val="21"/>
          <w:u w:val="single"/>
        </w:rPr>
        <w:t xml:space="preserve">    </w:t>
      </w:r>
      <w:r>
        <w:rPr>
          <w:rFonts w:hint="eastAsia" w:ascii="宋体" w:hAnsi="宋体" w:cs="Arial"/>
          <w:color w:val="000000"/>
          <w:kern w:val="0"/>
          <w:szCs w:val="21"/>
          <w:u w:val="single"/>
        </w:rPr>
        <w:t>     </w:t>
      </w:r>
      <w:r>
        <w:rPr>
          <w:rFonts w:ascii="宋体" w:hAnsi="宋体" w:cs="Arial"/>
          <w:color w:val="000000"/>
          <w:kern w:val="0"/>
          <w:szCs w:val="21"/>
        </w:rPr>
        <w:t xml:space="preserve">  </w:t>
      </w:r>
      <w:r>
        <w:rPr>
          <w:rFonts w:hint="eastAsia" w:ascii="宋体" w:hAnsi="宋体" w:cs="Arial"/>
          <w:color w:val="000000"/>
          <w:kern w:val="0"/>
          <w:szCs w:val="21"/>
        </w:rPr>
        <w:t>邮编：</w:t>
      </w:r>
      <w:r>
        <w:rPr>
          <w:rFonts w:hint="eastAsia" w:ascii="宋体" w:hAnsi="宋体" w:cs="Arial"/>
          <w:color w:val="000000"/>
          <w:kern w:val="0"/>
          <w:szCs w:val="21"/>
          <w:u w:val="single"/>
        </w:rPr>
        <w:t xml:space="preserve">     </w:t>
      </w:r>
    </w:p>
    <w:p>
      <w:pPr>
        <w:pStyle w:val="31"/>
        <w:keepNext w:val="0"/>
        <w:keepLines w:val="0"/>
        <w:pageBreakBefore w:val="0"/>
        <w:widowControl w:val="0"/>
        <w:kinsoku/>
        <w:overflowPunct/>
        <w:topLinePunct w:val="0"/>
        <w:bidi w:val="0"/>
        <w:ind w:left="-1" w:firstLine="420"/>
      </w:pPr>
      <w:r>
        <w:rPr>
          <w:rFonts w:hint="eastAsia"/>
        </w:rPr>
        <w:t xml:space="preserve"> </w:t>
      </w:r>
    </w:p>
    <w:p>
      <w:pPr>
        <w:keepNext w:val="0"/>
        <w:keepLines w:val="0"/>
        <w:pageBreakBefore w:val="0"/>
        <w:widowControl w:val="0"/>
        <w:kinsoku/>
        <w:overflowPunct/>
        <w:topLinePunct w:val="0"/>
        <w:bidi w:val="0"/>
        <w:spacing w:line="360" w:lineRule="atLeast"/>
        <w:ind w:left="-1" w:firstLine="630" w:firstLineChars="300"/>
        <w:jc w:val="left"/>
        <w:rPr>
          <w:rFonts w:ascii="宋体" w:hAnsi="宋体" w:cs="Arial"/>
          <w:color w:val="000000"/>
          <w:kern w:val="0"/>
          <w:szCs w:val="21"/>
        </w:rPr>
      </w:pPr>
      <w:r>
        <w:rPr>
          <w:rFonts w:hint="eastAsia" w:ascii="宋体" w:hAnsi="宋体" w:cs="Arial"/>
          <w:color w:val="000000"/>
          <w:kern w:val="0"/>
          <w:szCs w:val="21"/>
        </w:rPr>
        <w:t>电话：</w:t>
      </w:r>
      <w:r>
        <w:rPr>
          <w:rFonts w:hint="eastAsia" w:ascii="宋体" w:hAnsi="宋体" w:cs="Arial"/>
          <w:color w:val="000000"/>
          <w:kern w:val="0"/>
          <w:szCs w:val="21"/>
          <w:u w:val="single"/>
        </w:rPr>
        <w:t>              </w:t>
      </w:r>
      <w:r>
        <w:rPr>
          <w:rFonts w:ascii="宋体" w:hAnsi="宋体" w:cs="Arial"/>
          <w:color w:val="000000"/>
          <w:kern w:val="0"/>
          <w:szCs w:val="21"/>
        </w:rPr>
        <w:t xml:space="preserve">  </w:t>
      </w:r>
      <w:r>
        <w:rPr>
          <w:rFonts w:hint="eastAsia" w:ascii="宋体" w:hAnsi="宋体" w:cs="Arial"/>
          <w:color w:val="000000"/>
          <w:kern w:val="0"/>
          <w:szCs w:val="21"/>
        </w:rPr>
        <w:t>传真：</w:t>
      </w:r>
      <w:r>
        <w:rPr>
          <w:rFonts w:hint="eastAsia" w:ascii="宋体" w:hAnsi="宋体" w:cs="Arial"/>
          <w:color w:val="000000"/>
          <w:kern w:val="0"/>
          <w:szCs w:val="21"/>
          <w:u w:val="single"/>
        </w:rPr>
        <w:t>  </w:t>
      </w:r>
      <w:r>
        <w:rPr>
          <w:rFonts w:ascii="宋体" w:hAnsi="宋体" w:cs="Arial"/>
          <w:color w:val="000000"/>
          <w:kern w:val="0"/>
          <w:szCs w:val="21"/>
          <w:u w:val="single"/>
        </w:rPr>
        <w:t xml:space="preserve">           </w:t>
      </w:r>
      <w:r>
        <w:rPr>
          <w:rFonts w:hint="eastAsia" w:ascii="宋体" w:hAnsi="宋体" w:cs="Arial"/>
          <w:color w:val="000000"/>
          <w:kern w:val="0"/>
          <w:szCs w:val="21"/>
          <w:u w:val="single"/>
        </w:rPr>
        <w:t xml:space="preserve">   </w:t>
      </w:r>
      <w:r>
        <w:rPr>
          <w:rFonts w:hint="eastAsia" w:ascii="宋体" w:hAnsi="宋体" w:cs="Arial"/>
          <w:color w:val="000000"/>
          <w:kern w:val="0"/>
          <w:szCs w:val="21"/>
        </w:rPr>
        <w:t> </w:t>
      </w:r>
    </w:p>
    <w:p>
      <w:pPr>
        <w:keepNext w:val="0"/>
        <w:keepLines w:val="0"/>
        <w:pageBreakBefore w:val="0"/>
        <w:widowControl w:val="0"/>
        <w:kinsoku/>
        <w:overflowPunct/>
        <w:topLinePunct w:val="0"/>
        <w:bidi w:val="0"/>
        <w:spacing w:line="360" w:lineRule="atLeast"/>
        <w:ind w:left="-1" w:firstLine="420"/>
        <w:jc w:val="left"/>
        <w:rPr>
          <w:rFonts w:ascii="宋体" w:hAnsi="宋体" w:cs="Arial"/>
          <w:color w:val="000000"/>
          <w:kern w:val="0"/>
          <w:szCs w:val="21"/>
        </w:rPr>
      </w:pPr>
      <w:r>
        <w:rPr>
          <w:rFonts w:hint="eastAsia" w:ascii="宋体" w:hAnsi="宋体" w:cs="Arial"/>
          <w:color w:val="000000"/>
          <w:kern w:val="0"/>
          <w:szCs w:val="21"/>
        </w:rPr>
        <w:t xml:space="preserve"> </w:t>
      </w:r>
      <w:r>
        <w:rPr>
          <w:rFonts w:ascii="宋体" w:hAnsi="宋体" w:cs="Arial"/>
          <w:color w:val="000000"/>
          <w:kern w:val="0"/>
          <w:szCs w:val="21"/>
        </w:rPr>
        <w:t xml:space="preserve"> </w:t>
      </w:r>
    </w:p>
    <w:p>
      <w:pPr>
        <w:keepNext w:val="0"/>
        <w:keepLines w:val="0"/>
        <w:pageBreakBefore w:val="0"/>
        <w:widowControl w:val="0"/>
        <w:kinsoku/>
        <w:overflowPunct/>
        <w:topLinePunct w:val="0"/>
        <w:bidi w:val="0"/>
        <w:spacing w:line="360" w:lineRule="atLeast"/>
        <w:ind w:left="-1" w:firstLine="2730" w:firstLineChars="1300"/>
        <w:jc w:val="left"/>
        <w:rPr>
          <w:rFonts w:ascii="宋体" w:hAnsi="宋体" w:cs="Arial"/>
          <w:color w:val="000000"/>
          <w:kern w:val="0"/>
          <w:szCs w:val="21"/>
        </w:rPr>
      </w:pPr>
      <w:r>
        <w:rPr>
          <w:rFonts w:hint="eastAsia" w:ascii="宋体" w:hAnsi="宋体" w:cs="Arial"/>
          <w:color w:val="000000"/>
          <w:kern w:val="0"/>
          <w:szCs w:val="21"/>
        </w:rPr>
        <w:t>投标单位名称：</w:t>
      </w:r>
      <w:r>
        <w:rPr>
          <w:rFonts w:hint="eastAsia" w:ascii="宋体" w:hAnsi="宋体" w:cs="Arial"/>
          <w:color w:val="000000"/>
          <w:kern w:val="0"/>
          <w:szCs w:val="21"/>
          <w:u w:val="single"/>
        </w:rPr>
        <w:t xml:space="preserve">                </w:t>
      </w:r>
      <w:r>
        <w:rPr>
          <w:rFonts w:hint="eastAsia" w:ascii="宋体" w:hAnsi="宋体" w:cs="Arial"/>
          <w:color w:val="000000"/>
          <w:kern w:val="0"/>
          <w:szCs w:val="21"/>
        </w:rPr>
        <w:t>（公章）</w:t>
      </w:r>
    </w:p>
    <w:p>
      <w:pPr>
        <w:pStyle w:val="31"/>
        <w:keepNext w:val="0"/>
        <w:keepLines w:val="0"/>
        <w:pageBreakBefore w:val="0"/>
        <w:widowControl w:val="0"/>
        <w:kinsoku/>
        <w:overflowPunct/>
        <w:topLinePunct w:val="0"/>
        <w:bidi w:val="0"/>
        <w:ind w:left="-1" w:firstLine="420"/>
      </w:pPr>
    </w:p>
    <w:p>
      <w:pPr>
        <w:keepNext w:val="0"/>
        <w:keepLines w:val="0"/>
        <w:pageBreakBefore w:val="0"/>
        <w:widowControl w:val="0"/>
        <w:kinsoku/>
        <w:overflowPunct/>
        <w:topLinePunct w:val="0"/>
        <w:bidi w:val="0"/>
        <w:spacing w:line="360" w:lineRule="atLeast"/>
        <w:ind w:left="-1" w:firstLine="2730" w:firstLineChars="1300"/>
        <w:jc w:val="left"/>
        <w:rPr>
          <w:rFonts w:ascii="宋体" w:hAnsi="宋体" w:cs="Arial"/>
          <w:color w:val="000000"/>
          <w:kern w:val="0"/>
          <w:szCs w:val="21"/>
          <w:u w:val="single"/>
        </w:rPr>
      </w:pPr>
      <w:r>
        <w:rPr>
          <w:rFonts w:hint="eastAsia" w:ascii="宋体" w:hAnsi="宋体" w:cs="Arial"/>
          <w:color w:val="000000"/>
          <w:kern w:val="0"/>
          <w:szCs w:val="21"/>
        </w:rPr>
        <w:t>全权代表签字：</w:t>
      </w:r>
      <w:r>
        <w:rPr>
          <w:rFonts w:hint="eastAsia" w:ascii="宋体" w:hAnsi="宋体" w:cs="Arial"/>
          <w:color w:val="000000"/>
          <w:kern w:val="0"/>
          <w:szCs w:val="21"/>
          <w:u w:val="single"/>
        </w:rPr>
        <w:t xml:space="preserve">                  </w:t>
      </w:r>
    </w:p>
    <w:p>
      <w:pPr>
        <w:pStyle w:val="31"/>
        <w:keepNext w:val="0"/>
        <w:keepLines w:val="0"/>
        <w:pageBreakBefore w:val="0"/>
        <w:widowControl w:val="0"/>
        <w:kinsoku/>
        <w:overflowPunct/>
        <w:topLinePunct w:val="0"/>
        <w:bidi w:val="0"/>
        <w:ind w:left="-1" w:firstLine="420"/>
      </w:pPr>
    </w:p>
    <w:p>
      <w:pPr>
        <w:keepNext w:val="0"/>
        <w:keepLines w:val="0"/>
        <w:pageBreakBefore w:val="0"/>
        <w:widowControl w:val="0"/>
        <w:kinsoku/>
        <w:overflowPunct/>
        <w:topLinePunct w:val="0"/>
        <w:bidi w:val="0"/>
        <w:ind w:left="-1" w:firstLine="2730" w:firstLineChars="1300"/>
        <w:rPr>
          <w:sz w:val="28"/>
          <w:szCs w:val="28"/>
        </w:rPr>
      </w:pPr>
      <w:r>
        <w:rPr>
          <w:rFonts w:hint="eastAsia" w:ascii="宋体" w:hAnsi="宋体" w:cs="Arial"/>
          <w:color w:val="000000"/>
          <w:kern w:val="0"/>
          <w:szCs w:val="21"/>
        </w:rPr>
        <w:t>投标日期：  </w:t>
      </w:r>
      <w:r>
        <w:rPr>
          <w:rFonts w:hint="eastAsia" w:ascii="宋体" w:hAnsi="宋体" w:cs="Arial"/>
          <w:color w:val="000000"/>
          <w:kern w:val="0"/>
          <w:szCs w:val="21"/>
          <w:u w:val="single"/>
        </w:rPr>
        <w:t xml:space="preserve">      </w:t>
      </w:r>
      <w:r>
        <w:rPr>
          <w:rFonts w:hint="eastAsia" w:ascii="宋体" w:hAnsi="宋体" w:cs="Arial"/>
          <w:color w:val="000000"/>
          <w:kern w:val="0"/>
          <w:szCs w:val="21"/>
        </w:rPr>
        <w:t>年</w:t>
      </w:r>
      <w:r>
        <w:rPr>
          <w:rFonts w:hint="eastAsia" w:ascii="宋体" w:hAnsi="宋体" w:cs="Arial"/>
          <w:color w:val="000000"/>
          <w:kern w:val="0"/>
          <w:szCs w:val="21"/>
          <w:u w:val="single"/>
        </w:rPr>
        <w:t xml:space="preserve">   </w:t>
      </w:r>
      <w:r>
        <w:rPr>
          <w:rFonts w:hint="eastAsia" w:ascii="宋体" w:hAnsi="宋体" w:cs="Arial"/>
          <w:color w:val="000000"/>
          <w:kern w:val="0"/>
          <w:szCs w:val="21"/>
        </w:rPr>
        <w:t>月</w:t>
      </w:r>
      <w:r>
        <w:rPr>
          <w:rFonts w:hint="eastAsia" w:ascii="宋体" w:hAnsi="宋体" w:cs="Arial"/>
          <w:color w:val="000000"/>
          <w:kern w:val="0"/>
          <w:szCs w:val="21"/>
          <w:u w:val="single"/>
        </w:rPr>
        <w:t xml:space="preserve">   </w:t>
      </w:r>
      <w:r>
        <w:rPr>
          <w:rFonts w:hint="eastAsia" w:ascii="宋体" w:hAnsi="宋体" w:cs="Arial"/>
          <w:color w:val="000000"/>
          <w:kern w:val="0"/>
          <w:szCs w:val="21"/>
        </w:rPr>
        <w:t>日</w:t>
      </w:r>
    </w:p>
    <w:p>
      <w:pPr>
        <w:keepNext w:val="0"/>
        <w:keepLines w:val="0"/>
        <w:pageBreakBefore w:val="0"/>
        <w:widowControl w:val="0"/>
        <w:kinsoku/>
        <w:overflowPunct/>
        <w:topLinePunct w:val="0"/>
        <w:bidi w:val="0"/>
        <w:ind w:left="-1"/>
        <w:rPr>
          <w:sz w:val="28"/>
          <w:szCs w:val="28"/>
        </w:rPr>
      </w:pPr>
    </w:p>
    <w:p>
      <w:pPr>
        <w:keepNext w:val="0"/>
        <w:keepLines w:val="0"/>
        <w:pageBreakBefore w:val="0"/>
        <w:widowControl w:val="0"/>
        <w:kinsoku/>
        <w:overflowPunct/>
        <w:topLinePunct w:val="0"/>
        <w:bidi w:val="0"/>
        <w:ind w:left="-1"/>
        <w:rPr>
          <w:sz w:val="28"/>
          <w:szCs w:val="28"/>
        </w:rPr>
      </w:pPr>
    </w:p>
    <w:p>
      <w:pPr>
        <w:keepNext w:val="0"/>
        <w:keepLines w:val="0"/>
        <w:pageBreakBefore w:val="0"/>
        <w:widowControl w:val="0"/>
        <w:kinsoku/>
        <w:overflowPunct/>
        <w:topLinePunct w:val="0"/>
        <w:bidi w:val="0"/>
        <w:ind w:left="-1"/>
        <w:rPr>
          <w:sz w:val="28"/>
          <w:szCs w:val="28"/>
        </w:rPr>
      </w:pPr>
    </w:p>
    <w:p>
      <w:pPr>
        <w:keepNext w:val="0"/>
        <w:keepLines w:val="0"/>
        <w:pageBreakBefore w:val="0"/>
        <w:widowControl w:val="0"/>
        <w:kinsoku/>
        <w:overflowPunct/>
        <w:topLinePunct w:val="0"/>
        <w:bidi w:val="0"/>
        <w:rPr>
          <w:sz w:val="28"/>
          <w:szCs w:val="28"/>
        </w:rPr>
      </w:pPr>
    </w:p>
    <w:p>
      <w:pPr>
        <w:pStyle w:val="30"/>
        <w:keepNext w:val="0"/>
        <w:keepLines w:val="0"/>
        <w:pageBreakBefore w:val="0"/>
        <w:widowControl w:val="0"/>
        <w:kinsoku/>
        <w:overflowPunct/>
        <w:topLinePunct w:val="0"/>
        <w:bidi w:val="0"/>
        <w:rPr>
          <w:sz w:val="28"/>
          <w:szCs w:val="28"/>
        </w:rPr>
      </w:pPr>
    </w:p>
    <w:p>
      <w:pPr>
        <w:pStyle w:val="30"/>
        <w:keepNext w:val="0"/>
        <w:keepLines w:val="0"/>
        <w:pageBreakBefore w:val="0"/>
        <w:widowControl w:val="0"/>
        <w:kinsoku/>
        <w:overflowPunct/>
        <w:topLinePunct w:val="0"/>
        <w:bidi w:val="0"/>
        <w:rPr>
          <w:sz w:val="28"/>
          <w:szCs w:val="28"/>
        </w:rPr>
        <w:sectPr>
          <w:footerReference r:id="rId6" w:type="default"/>
          <w:pgSz w:w="11906" w:h="16838"/>
          <w:pgMar w:top="1440" w:right="1797" w:bottom="1440" w:left="1797" w:header="851" w:footer="992" w:gutter="0"/>
          <w:paperSrc w:first="15"/>
          <w:pgBorders>
            <w:top w:val="none" w:sz="0" w:space="0"/>
            <w:left w:val="none" w:sz="0" w:space="0"/>
            <w:bottom w:val="none" w:sz="0" w:space="0"/>
            <w:right w:val="none" w:sz="0" w:space="0"/>
          </w:pgBorders>
          <w:pgNumType w:fmt="numberInDash" w:start="1" w:chapStyle="1"/>
          <w:cols w:space="720" w:num="1"/>
          <w:docGrid w:type="lines" w:linePitch="312" w:charSpace="0"/>
        </w:sectPr>
      </w:pPr>
    </w:p>
    <w:p>
      <w:pPr>
        <w:pStyle w:val="3"/>
        <w:keepNext w:val="0"/>
        <w:keepLines w:val="0"/>
        <w:pageBreakBefore w:val="0"/>
        <w:widowControl w:val="0"/>
        <w:kinsoku/>
        <w:overflowPunct/>
        <w:topLinePunct w:val="0"/>
        <w:bidi w:val="0"/>
        <w:spacing w:line="579" w:lineRule="auto"/>
        <w:jc w:val="center"/>
        <w:rPr>
          <w:rFonts w:ascii="黑体" w:hAnsi="黑体" w:eastAsia="黑体"/>
          <w:bCs w:val="0"/>
          <w:sz w:val="32"/>
          <w:szCs w:val="32"/>
        </w:rPr>
      </w:pPr>
      <w:bookmarkStart w:id="26" w:name="_Toc23522"/>
      <w:bookmarkStart w:id="27" w:name="_Toc2592"/>
      <w:r>
        <w:rPr>
          <w:rFonts w:hint="eastAsia" w:ascii="黑体" w:hAnsi="黑体" w:eastAsia="黑体"/>
          <w:bCs w:val="0"/>
          <w:sz w:val="32"/>
          <w:szCs w:val="32"/>
        </w:rPr>
        <w:t>3、法定代表人证明书</w:t>
      </w:r>
      <w:bookmarkEnd w:id="26"/>
      <w:bookmarkEnd w:id="27"/>
    </w:p>
    <w:p>
      <w:pPr>
        <w:keepNext w:val="0"/>
        <w:keepLines w:val="0"/>
        <w:pageBreakBefore w:val="0"/>
        <w:widowControl w:val="0"/>
        <w:kinsoku/>
        <w:overflowPunct/>
        <w:topLinePunct w:val="0"/>
        <w:bidi w:val="0"/>
      </w:pPr>
    </w:p>
    <w:p>
      <w:pPr>
        <w:keepNext w:val="0"/>
        <w:keepLines w:val="0"/>
        <w:pageBreakBefore w:val="0"/>
        <w:widowControl w:val="0"/>
        <w:kinsoku/>
        <w:overflowPunct/>
        <w:topLinePunct w:val="0"/>
        <w:bidi w:val="0"/>
        <w:spacing w:after="60"/>
        <w:ind w:left="-1"/>
        <w:rPr>
          <w:color w:val="000000"/>
          <w:szCs w:val="21"/>
          <w:u w:val="single"/>
        </w:rPr>
      </w:pPr>
      <w:r>
        <w:rPr>
          <w:rFonts w:hint="eastAsia"/>
          <w:color w:val="000000"/>
          <w:szCs w:val="21"/>
        </w:rPr>
        <w:t>单位名称：</w:t>
      </w:r>
      <w:r>
        <w:rPr>
          <w:color w:val="000000"/>
          <w:szCs w:val="21"/>
          <w:u w:val="single"/>
        </w:rPr>
        <w:t xml:space="preserve">                                           </w:t>
      </w:r>
    </w:p>
    <w:p>
      <w:pPr>
        <w:keepNext w:val="0"/>
        <w:keepLines w:val="0"/>
        <w:pageBreakBefore w:val="0"/>
        <w:widowControl w:val="0"/>
        <w:kinsoku/>
        <w:overflowPunct/>
        <w:topLinePunct w:val="0"/>
        <w:bidi w:val="0"/>
        <w:spacing w:after="60"/>
        <w:ind w:left="-1"/>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pPr>
        <w:keepNext w:val="0"/>
        <w:keepLines w:val="0"/>
        <w:pageBreakBefore w:val="0"/>
        <w:widowControl w:val="0"/>
        <w:kinsoku/>
        <w:overflowPunct/>
        <w:topLinePunct w:val="0"/>
        <w:bidi w:val="0"/>
        <w:spacing w:after="60"/>
        <w:ind w:left="-1"/>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pPr>
        <w:keepNext w:val="0"/>
        <w:keepLines w:val="0"/>
        <w:pageBreakBefore w:val="0"/>
        <w:widowControl w:val="0"/>
        <w:kinsoku/>
        <w:overflowPunct/>
        <w:topLinePunct w:val="0"/>
        <w:bidi w:val="0"/>
        <w:spacing w:after="60"/>
        <w:ind w:left="-1"/>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pPr>
        <w:keepNext w:val="0"/>
        <w:keepLines w:val="0"/>
        <w:pageBreakBefore w:val="0"/>
        <w:widowControl w:val="0"/>
        <w:kinsoku/>
        <w:overflowPunct/>
        <w:topLinePunct w:val="0"/>
        <w:bidi w:val="0"/>
        <w:spacing w:after="60"/>
        <w:ind w:left="-1"/>
        <w:rPr>
          <w:color w:val="000000"/>
          <w:szCs w:val="21"/>
        </w:rPr>
      </w:pPr>
      <w:r>
        <w:rPr>
          <w:rFonts w:hint="eastAsia"/>
          <w:color w:val="000000"/>
          <w:szCs w:val="21"/>
        </w:rPr>
        <w:t>特此证明</w:t>
      </w:r>
    </w:p>
    <w:p>
      <w:pPr>
        <w:keepNext w:val="0"/>
        <w:keepLines w:val="0"/>
        <w:pageBreakBefore w:val="0"/>
        <w:widowControl w:val="0"/>
        <w:kinsoku/>
        <w:overflowPunct/>
        <w:topLinePunct w:val="0"/>
        <w:bidi w:val="0"/>
        <w:spacing w:after="60"/>
        <w:ind w:left="-1"/>
        <w:rPr>
          <w:color w:val="000000"/>
          <w:szCs w:val="21"/>
        </w:rPr>
      </w:pPr>
    </w:p>
    <w:p>
      <w:pPr>
        <w:keepNext w:val="0"/>
        <w:keepLines w:val="0"/>
        <w:pageBreakBefore w:val="0"/>
        <w:widowControl w:val="0"/>
        <w:kinsoku/>
        <w:overflowPunct/>
        <w:topLinePunct w:val="0"/>
        <w:bidi w:val="0"/>
        <w:spacing w:after="60"/>
        <w:ind w:left="-1"/>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pPr>
        <w:pStyle w:val="31"/>
        <w:keepNext w:val="0"/>
        <w:keepLines w:val="0"/>
        <w:pageBreakBefore w:val="0"/>
        <w:widowControl w:val="0"/>
        <w:kinsoku/>
        <w:overflowPunct/>
        <w:topLinePunct w:val="0"/>
        <w:bidi w:val="0"/>
        <w:ind w:firstLine="420"/>
      </w:pPr>
    </w:p>
    <w:p>
      <w:pPr>
        <w:keepNext w:val="0"/>
        <w:keepLines w:val="0"/>
        <w:pageBreakBefore w:val="0"/>
        <w:widowControl w:val="0"/>
        <w:kinsoku/>
        <w:overflowPunct/>
        <w:topLinePunct w:val="0"/>
        <w:bidi w:val="0"/>
        <w:spacing w:after="60"/>
        <w:ind w:left="-1"/>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pPr>
        <w:keepNext w:val="0"/>
        <w:keepLines w:val="0"/>
        <w:pageBreakBefore w:val="0"/>
        <w:widowControl w:val="0"/>
        <w:kinsoku/>
        <w:overflowPunct/>
        <w:topLinePunct w:val="0"/>
        <w:bidi w:val="0"/>
        <w:spacing w:after="60"/>
        <w:ind w:left="-1"/>
        <w:rPr>
          <w:color w:val="000000"/>
          <w:szCs w:val="21"/>
        </w:rPr>
      </w:pPr>
      <w:r>
        <w:rPr>
          <w:rFonts w:hint="eastAsia"/>
          <w:color w:val="000000"/>
          <w:szCs w:val="21"/>
        </w:rPr>
        <w:t xml:space="preserve"> </w:t>
      </w:r>
    </w:p>
    <w:p>
      <w:pPr>
        <w:keepNext w:val="0"/>
        <w:keepLines w:val="0"/>
        <w:pageBreakBefore w:val="0"/>
        <w:widowControl w:val="0"/>
        <w:kinsoku/>
        <w:overflowPunct/>
        <w:topLinePunct w:val="0"/>
        <w:bidi w:val="0"/>
        <w:spacing w:after="60"/>
        <w:ind w:left="-1"/>
        <w:rPr>
          <w:color w:val="FF0000"/>
          <w:szCs w:val="21"/>
        </w:rPr>
      </w:pPr>
      <w:r>
        <w:rPr>
          <w:rFonts w:hint="eastAsia"/>
          <w:color w:val="FF0000"/>
          <w:szCs w:val="21"/>
        </w:rPr>
        <w:t>附：</w:t>
      </w:r>
      <w:r>
        <w:rPr>
          <w:rFonts w:hint="eastAsia" w:cs="Arial"/>
          <w:color w:val="FF0000"/>
          <w:szCs w:val="21"/>
        </w:rPr>
        <w:t>法定代表人</w:t>
      </w:r>
      <w:r>
        <w:rPr>
          <w:rFonts w:hint="eastAsia"/>
          <w:color w:val="FF0000"/>
          <w:szCs w:val="21"/>
        </w:rPr>
        <w:t>身份证扫描件</w:t>
      </w:r>
    </w:p>
    <w:p>
      <w:pPr>
        <w:keepNext w:val="0"/>
        <w:keepLines w:val="0"/>
        <w:pageBreakBefore w:val="0"/>
        <w:widowControl w:val="0"/>
        <w:kinsoku/>
        <w:overflowPunct/>
        <w:topLinePunct w:val="0"/>
        <w:bidi w:val="0"/>
        <w:spacing w:after="60"/>
        <w:ind w:left="-1"/>
        <w:rPr>
          <w:color w:val="000000"/>
          <w:szCs w:val="21"/>
        </w:rPr>
      </w:pPr>
    </w:p>
    <w:p>
      <w:pPr>
        <w:keepNext w:val="0"/>
        <w:keepLines w:val="0"/>
        <w:pageBreakBefore w:val="0"/>
        <w:widowControl w:val="0"/>
        <w:kinsoku/>
        <w:overflowPunct/>
        <w:topLinePunct w:val="0"/>
        <w:bidi w:val="0"/>
        <w:spacing w:after="60"/>
        <w:ind w:left="-1"/>
        <w:rPr>
          <w:rFonts w:cs="Arial"/>
          <w:b/>
          <w:color w:val="000000"/>
          <w:sz w:val="24"/>
        </w:rPr>
      </w:pPr>
    </w:p>
    <w:p>
      <w:pPr>
        <w:pStyle w:val="30"/>
        <w:keepNext w:val="0"/>
        <w:keepLines w:val="0"/>
        <w:pageBreakBefore w:val="0"/>
        <w:widowControl w:val="0"/>
        <w:kinsoku/>
        <w:overflowPunct/>
        <w:topLinePunct w:val="0"/>
        <w:bidi w:val="0"/>
        <w:rPr>
          <w:rFonts w:cs="Arial"/>
          <w:b/>
          <w:color w:val="000000"/>
          <w:sz w:val="24"/>
        </w:rPr>
      </w:pPr>
    </w:p>
    <w:p>
      <w:pPr>
        <w:pStyle w:val="30"/>
        <w:keepNext w:val="0"/>
        <w:keepLines w:val="0"/>
        <w:pageBreakBefore w:val="0"/>
        <w:widowControl w:val="0"/>
        <w:kinsoku/>
        <w:overflowPunct/>
        <w:topLinePunct w:val="0"/>
        <w:bidi w:val="0"/>
        <w:rPr>
          <w:rFonts w:cs="Arial"/>
          <w:b/>
          <w:color w:val="000000"/>
          <w:sz w:val="24"/>
        </w:rPr>
      </w:pPr>
    </w:p>
    <w:p>
      <w:pPr>
        <w:pStyle w:val="30"/>
        <w:keepNext w:val="0"/>
        <w:keepLines w:val="0"/>
        <w:pageBreakBefore w:val="0"/>
        <w:widowControl w:val="0"/>
        <w:kinsoku/>
        <w:overflowPunct/>
        <w:topLinePunct w:val="0"/>
        <w:bidi w:val="0"/>
        <w:rPr>
          <w:rFonts w:cs="Arial"/>
          <w:b/>
          <w:color w:val="000000"/>
          <w:sz w:val="24"/>
        </w:rPr>
      </w:pPr>
    </w:p>
    <w:p>
      <w:pPr>
        <w:pStyle w:val="30"/>
        <w:keepNext w:val="0"/>
        <w:keepLines w:val="0"/>
        <w:pageBreakBefore w:val="0"/>
        <w:widowControl w:val="0"/>
        <w:kinsoku/>
        <w:overflowPunct/>
        <w:topLinePunct w:val="0"/>
        <w:bidi w:val="0"/>
        <w:rPr>
          <w:rFonts w:cs="Arial"/>
          <w:b/>
          <w:color w:val="000000"/>
          <w:sz w:val="24"/>
        </w:rPr>
      </w:pPr>
    </w:p>
    <w:p>
      <w:pPr>
        <w:pStyle w:val="30"/>
        <w:keepNext w:val="0"/>
        <w:keepLines w:val="0"/>
        <w:pageBreakBefore w:val="0"/>
        <w:widowControl w:val="0"/>
        <w:kinsoku/>
        <w:overflowPunct/>
        <w:topLinePunct w:val="0"/>
        <w:bidi w:val="0"/>
        <w:rPr>
          <w:rFonts w:cs="Arial"/>
          <w:b/>
          <w:color w:val="000000"/>
          <w:sz w:val="24"/>
        </w:rPr>
      </w:pPr>
    </w:p>
    <w:p>
      <w:pPr>
        <w:pStyle w:val="30"/>
        <w:keepNext w:val="0"/>
        <w:keepLines w:val="0"/>
        <w:pageBreakBefore w:val="0"/>
        <w:widowControl w:val="0"/>
        <w:kinsoku/>
        <w:overflowPunct/>
        <w:topLinePunct w:val="0"/>
        <w:bidi w:val="0"/>
        <w:rPr>
          <w:rFonts w:cs="Arial"/>
          <w:b/>
          <w:color w:val="000000"/>
          <w:sz w:val="24"/>
        </w:rPr>
      </w:pPr>
    </w:p>
    <w:p>
      <w:pPr>
        <w:pStyle w:val="30"/>
        <w:keepNext w:val="0"/>
        <w:keepLines w:val="0"/>
        <w:pageBreakBefore w:val="0"/>
        <w:widowControl w:val="0"/>
        <w:kinsoku/>
        <w:overflowPunct/>
        <w:topLinePunct w:val="0"/>
        <w:bidi w:val="0"/>
        <w:rPr>
          <w:rFonts w:cs="Arial"/>
          <w:b/>
          <w:color w:val="000000"/>
          <w:sz w:val="24"/>
        </w:rPr>
      </w:pPr>
    </w:p>
    <w:p>
      <w:pPr>
        <w:pStyle w:val="30"/>
        <w:keepNext w:val="0"/>
        <w:keepLines w:val="0"/>
        <w:pageBreakBefore w:val="0"/>
        <w:widowControl w:val="0"/>
        <w:kinsoku/>
        <w:overflowPunct/>
        <w:topLinePunct w:val="0"/>
        <w:bidi w:val="0"/>
        <w:rPr>
          <w:rFonts w:cs="Arial"/>
          <w:b/>
          <w:color w:val="000000"/>
          <w:sz w:val="24"/>
        </w:rPr>
      </w:pPr>
    </w:p>
    <w:p>
      <w:pPr>
        <w:pStyle w:val="30"/>
        <w:keepNext w:val="0"/>
        <w:keepLines w:val="0"/>
        <w:pageBreakBefore w:val="0"/>
        <w:widowControl w:val="0"/>
        <w:kinsoku/>
        <w:overflowPunct/>
        <w:topLinePunct w:val="0"/>
        <w:bidi w:val="0"/>
        <w:rPr>
          <w:rFonts w:cs="Arial"/>
          <w:b/>
          <w:color w:val="000000"/>
          <w:sz w:val="24"/>
        </w:rPr>
      </w:pPr>
    </w:p>
    <w:p>
      <w:pPr>
        <w:pStyle w:val="30"/>
        <w:keepNext w:val="0"/>
        <w:keepLines w:val="0"/>
        <w:pageBreakBefore w:val="0"/>
        <w:widowControl w:val="0"/>
        <w:kinsoku/>
        <w:overflowPunct/>
        <w:topLinePunct w:val="0"/>
        <w:bidi w:val="0"/>
        <w:rPr>
          <w:rFonts w:cs="Arial"/>
          <w:b/>
          <w:color w:val="000000"/>
          <w:sz w:val="24"/>
        </w:rPr>
      </w:pPr>
    </w:p>
    <w:p>
      <w:pPr>
        <w:pStyle w:val="30"/>
        <w:keepNext w:val="0"/>
        <w:keepLines w:val="0"/>
        <w:pageBreakBefore w:val="0"/>
        <w:widowControl w:val="0"/>
        <w:kinsoku/>
        <w:overflowPunct/>
        <w:topLinePunct w:val="0"/>
        <w:bidi w:val="0"/>
        <w:rPr>
          <w:rFonts w:cs="Arial"/>
          <w:b/>
          <w:color w:val="000000"/>
          <w:sz w:val="24"/>
        </w:rPr>
      </w:pPr>
    </w:p>
    <w:p>
      <w:pPr>
        <w:pStyle w:val="30"/>
        <w:keepNext w:val="0"/>
        <w:keepLines w:val="0"/>
        <w:pageBreakBefore w:val="0"/>
        <w:widowControl w:val="0"/>
        <w:kinsoku/>
        <w:overflowPunct/>
        <w:topLinePunct w:val="0"/>
        <w:bidi w:val="0"/>
        <w:rPr>
          <w:rFonts w:cs="Arial"/>
          <w:b/>
          <w:color w:val="000000"/>
          <w:sz w:val="24"/>
        </w:rPr>
      </w:pPr>
    </w:p>
    <w:p>
      <w:pPr>
        <w:pStyle w:val="30"/>
        <w:keepNext w:val="0"/>
        <w:keepLines w:val="0"/>
        <w:pageBreakBefore w:val="0"/>
        <w:widowControl w:val="0"/>
        <w:kinsoku/>
        <w:overflowPunct/>
        <w:topLinePunct w:val="0"/>
        <w:bidi w:val="0"/>
        <w:rPr>
          <w:rFonts w:cs="Arial"/>
          <w:b/>
          <w:color w:val="000000"/>
          <w:sz w:val="24"/>
        </w:rPr>
      </w:pPr>
    </w:p>
    <w:p>
      <w:pPr>
        <w:pStyle w:val="30"/>
        <w:keepNext w:val="0"/>
        <w:keepLines w:val="0"/>
        <w:pageBreakBefore w:val="0"/>
        <w:widowControl w:val="0"/>
        <w:kinsoku/>
        <w:overflowPunct/>
        <w:topLinePunct w:val="0"/>
        <w:bidi w:val="0"/>
        <w:rPr>
          <w:rFonts w:cs="Arial"/>
          <w:b/>
          <w:color w:val="000000"/>
          <w:sz w:val="24"/>
        </w:rPr>
      </w:pPr>
    </w:p>
    <w:p>
      <w:pPr>
        <w:pStyle w:val="30"/>
        <w:keepNext w:val="0"/>
        <w:keepLines w:val="0"/>
        <w:pageBreakBefore w:val="0"/>
        <w:widowControl w:val="0"/>
        <w:kinsoku/>
        <w:overflowPunct/>
        <w:topLinePunct w:val="0"/>
        <w:bidi w:val="0"/>
        <w:rPr>
          <w:rFonts w:cs="Arial"/>
          <w:b/>
          <w:color w:val="000000"/>
          <w:sz w:val="24"/>
        </w:rPr>
      </w:pPr>
    </w:p>
    <w:p>
      <w:pPr>
        <w:pStyle w:val="30"/>
        <w:keepNext w:val="0"/>
        <w:keepLines w:val="0"/>
        <w:pageBreakBefore w:val="0"/>
        <w:widowControl w:val="0"/>
        <w:kinsoku/>
        <w:overflowPunct/>
        <w:topLinePunct w:val="0"/>
        <w:bidi w:val="0"/>
        <w:rPr>
          <w:rFonts w:cs="Arial"/>
          <w:b/>
          <w:color w:val="000000"/>
          <w:sz w:val="24"/>
        </w:rPr>
      </w:pPr>
    </w:p>
    <w:p>
      <w:pPr>
        <w:pStyle w:val="30"/>
        <w:keepNext w:val="0"/>
        <w:keepLines w:val="0"/>
        <w:pageBreakBefore w:val="0"/>
        <w:widowControl w:val="0"/>
        <w:kinsoku/>
        <w:overflowPunct/>
        <w:topLinePunct w:val="0"/>
        <w:bidi w:val="0"/>
        <w:rPr>
          <w:rFonts w:cs="Arial"/>
          <w:b/>
          <w:color w:val="000000"/>
          <w:sz w:val="24"/>
        </w:rPr>
      </w:pPr>
    </w:p>
    <w:p>
      <w:pPr>
        <w:pStyle w:val="30"/>
        <w:keepNext w:val="0"/>
        <w:keepLines w:val="0"/>
        <w:pageBreakBefore w:val="0"/>
        <w:widowControl w:val="0"/>
        <w:kinsoku/>
        <w:overflowPunct/>
        <w:topLinePunct w:val="0"/>
        <w:bidi w:val="0"/>
        <w:rPr>
          <w:rFonts w:cs="Arial"/>
          <w:b/>
          <w:color w:val="000000"/>
          <w:sz w:val="24"/>
        </w:rPr>
      </w:pPr>
    </w:p>
    <w:p>
      <w:pPr>
        <w:pStyle w:val="30"/>
        <w:keepNext w:val="0"/>
        <w:keepLines w:val="0"/>
        <w:pageBreakBefore w:val="0"/>
        <w:widowControl w:val="0"/>
        <w:kinsoku/>
        <w:overflowPunct/>
        <w:topLinePunct w:val="0"/>
        <w:bidi w:val="0"/>
        <w:rPr>
          <w:rFonts w:cs="Arial"/>
          <w:b/>
          <w:color w:val="000000"/>
          <w:sz w:val="24"/>
        </w:rPr>
      </w:pPr>
    </w:p>
    <w:p>
      <w:pPr>
        <w:keepNext w:val="0"/>
        <w:keepLines w:val="0"/>
        <w:pageBreakBefore w:val="0"/>
        <w:widowControl w:val="0"/>
        <w:kinsoku/>
        <w:overflowPunct/>
        <w:topLinePunct w:val="0"/>
        <w:bidi w:val="0"/>
        <w:spacing w:after="60"/>
        <w:ind w:left="-1"/>
        <w:jc w:val="center"/>
        <w:rPr>
          <w:rFonts w:cs="Arial"/>
          <w:b/>
          <w:color w:val="000000"/>
          <w:sz w:val="24"/>
        </w:rPr>
      </w:pPr>
    </w:p>
    <w:p>
      <w:pPr>
        <w:keepNext w:val="0"/>
        <w:keepLines w:val="0"/>
        <w:pageBreakBefore w:val="0"/>
        <w:widowControl w:val="0"/>
        <w:kinsoku/>
        <w:overflowPunct/>
        <w:topLinePunct w:val="0"/>
        <w:bidi w:val="0"/>
        <w:rPr>
          <w:rFonts w:cs="Arial"/>
          <w:b/>
          <w:color w:val="000000"/>
          <w:sz w:val="24"/>
        </w:rPr>
        <w:sectPr>
          <w:pgSz w:w="11906" w:h="16838"/>
          <w:pgMar w:top="1440" w:right="1797" w:bottom="1440" w:left="1797" w:header="851" w:footer="992" w:gutter="0"/>
          <w:paperSrc w:first="15"/>
          <w:pgBorders>
            <w:top w:val="none" w:sz="0" w:space="0"/>
            <w:left w:val="none" w:sz="0" w:space="0"/>
            <w:bottom w:val="none" w:sz="0" w:space="0"/>
            <w:right w:val="none" w:sz="0" w:space="0"/>
          </w:pgBorders>
          <w:pgNumType w:fmt="numberInDash" w:chapStyle="1"/>
          <w:cols w:space="720" w:num="1"/>
          <w:docGrid w:type="lines" w:linePitch="312" w:charSpace="0"/>
        </w:sectPr>
      </w:pPr>
    </w:p>
    <w:p>
      <w:pPr>
        <w:pStyle w:val="3"/>
        <w:keepNext w:val="0"/>
        <w:keepLines w:val="0"/>
        <w:pageBreakBefore w:val="0"/>
        <w:widowControl w:val="0"/>
        <w:kinsoku/>
        <w:overflowPunct/>
        <w:topLinePunct w:val="0"/>
        <w:bidi w:val="0"/>
        <w:spacing w:line="579" w:lineRule="auto"/>
        <w:jc w:val="center"/>
        <w:rPr>
          <w:rFonts w:ascii="黑体" w:hAnsi="黑体" w:eastAsia="黑体"/>
          <w:bCs w:val="0"/>
          <w:sz w:val="32"/>
          <w:szCs w:val="32"/>
        </w:rPr>
      </w:pPr>
      <w:bookmarkStart w:id="28" w:name="_Toc29370"/>
      <w:bookmarkStart w:id="29" w:name="_Toc26440"/>
      <w:r>
        <w:rPr>
          <w:rFonts w:hint="eastAsia" w:ascii="黑体" w:hAnsi="黑体" w:eastAsia="黑体"/>
          <w:bCs w:val="0"/>
          <w:sz w:val="32"/>
          <w:szCs w:val="32"/>
        </w:rPr>
        <w:t>4、法定代表人授权书</w:t>
      </w:r>
      <w:bookmarkEnd w:id="28"/>
      <w:bookmarkEnd w:id="29"/>
    </w:p>
    <w:p>
      <w:pPr>
        <w:keepNext w:val="0"/>
        <w:keepLines w:val="0"/>
        <w:pageBreakBefore w:val="0"/>
        <w:widowControl w:val="0"/>
        <w:kinsoku/>
        <w:overflowPunct/>
        <w:topLinePunct w:val="0"/>
        <w:bidi w:val="0"/>
        <w:spacing w:after="60" w:line="360" w:lineRule="auto"/>
        <w:ind w:left="-1" w:firstLine="420" w:firstLineChars="200"/>
        <w:rPr>
          <w:color w:val="000000"/>
          <w:szCs w:val="21"/>
        </w:rPr>
      </w:pPr>
    </w:p>
    <w:p>
      <w:pPr>
        <w:keepNext w:val="0"/>
        <w:keepLines w:val="0"/>
        <w:pageBreakBefore w:val="0"/>
        <w:widowControl w:val="0"/>
        <w:kinsoku/>
        <w:overflowPunct/>
        <w:topLinePunct w:val="0"/>
        <w:bidi w:val="0"/>
        <w:spacing w:after="60" w:line="360" w:lineRule="auto"/>
        <w:ind w:left="-1" w:firstLine="420" w:firstLineChars="20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pPr>
        <w:keepNext w:val="0"/>
        <w:keepLines w:val="0"/>
        <w:pageBreakBefore w:val="0"/>
        <w:widowControl w:val="0"/>
        <w:kinsoku/>
        <w:overflowPunct/>
        <w:topLinePunct w:val="0"/>
        <w:bidi w:val="0"/>
        <w:spacing w:after="60" w:line="360" w:lineRule="auto"/>
        <w:ind w:left="-1" w:firstLine="420" w:firstLineChars="200"/>
        <w:rPr>
          <w:color w:val="000000"/>
          <w:szCs w:val="21"/>
        </w:rPr>
      </w:pPr>
      <w:r>
        <w:rPr>
          <w:rFonts w:hint="eastAsia"/>
          <w:color w:val="000000"/>
          <w:szCs w:val="21"/>
        </w:rPr>
        <w:t>代理人无转委托权，特此委托。</w:t>
      </w:r>
    </w:p>
    <w:p>
      <w:pPr>
        <w:keepNext w:val="0"/>
        <w:keepLines w:val="0"/>
        <w:pageBreakBefore w:val="0"/>
        <w:widowControl w:val="0"/>
        <w:kinsoku/>
        <w:overflowPunct/>
        <w:topLinePunct w:val="0"/>
        <w:bidi w:val="0"/>
        <w:spacing w:after="60"/>
        <w:ind w:left="-1"/>
        <w:rPr>
          <w:color w:val="000000"/>
          <w:szCs w:val="21"/>
        </w:rPr>
      </w:pPr>
    </w:p>
    <w:p>
      <w:pPr>
        <w:keepNext w:val="0"/>
        <w:keepLines w:val="0"/>
        <w:pageBreakBefore w:val="0"/>
        <w:widowControl w:val="0"/>
        <w:kinsoku/>
        <w:overflowPunct/>
        <w:topLinePunct w:val="0"/>
        <w:bidi w:val="0"/>
        <w:spacing w:after="60" w:line="360" w:lineRule="auto"/>
        <w:ind w:left="-1"/>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pPr>
        <w:keepNext w:val="0"/>
        <w:keepLines w:val="0"/>
        <w:pageBreakBefore w:val="0"/>
        <w:widowControl w:val="0"/>
        <w:kinsoku/>
        <w:overflowPunct/>
        <w:topLinePunct w:val="0"/>
        <w:bidi w:val="0"/>
        <w:spacing w:after="60" w:line="360" w:lineRule="auto"/>
        <w:ind w:left="-1"/>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pPr>
        <w:keepNext w:val="0"/>
        <w:keepLines w:val="0"/>
        <w:pageBreakBefore w:val="0"/>
        <w:widowControl w:val="0"/>
        <w:kinsoku/>
        <w:overflowPunct/>
        <w:topLinePunct w:val="0"/>
        <w:bidi w:val="0"/>
        <w:spacing w:after="60" w:line="360" w:lineRule="auto"/>
        <w:ind w:left="-1"/>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pPr>
        <w:keepNext w:val="0"/>
        <w:keepLines w:val="0"/>
        <w:pageBreakBefore w:val="0"/>
        <w:widowControl w:val="0"/>
        <w:kinsoku/>
        <w:overflowPunct/>
        <w:topLinePunct w:val="0"/>
        <w:bidi w:val="0"/>
        <w:spacing w:after="60" w:line="360" w:lineRule="auto"/>
        <w:ind w:left="-1"/>
        <w:rPr>
          <w:color w:val="000000"/>
          <w:szCs w:val="21"/>
        </w:rPr>
      </w:pPr>
      <w:r>
        <w:rPr>
          <w:rFonts w:hint="eastAsia"/>
          <w:color w:val="000000"/>
          <w:szCs w:val="21"/>
        </w:rPr>
        <w:t>投标人：</w:t>
      </w:r>
      <w:r>
        <w:rPr>
          <w:color w:val="000000"/>
          <w:szCs w:val="21"/>
          <w:u w:val="single"/>
        </w:rPr>
        <w:t xml:space="preserve">                                         </w:t>
      </w:r>
    </w:p>
    <w:p>
      <w:pPr>
        <w:keepNext w:val="0"/>
        <w:keepLines w:val="0"/>
        <w:pageBreakBefore w:val="0"/>
        <w:widowControl w:val="0"/>
        <w:kinsoku/>
        <w:overflowPunct/>
        <w:topLinePunct w:val="0"/>
        <w:bidi w:val="0"/>
        <w:spacing w:after="60" w:line="360" w:lineRule="auto"/>
        <w:ind w:left="-1"/>
        <w:rPr>
          <w:color w:val="000000"/>
          <w:szCs w:val="21"/>
        </w:rPr>
      </w:pPr>
      <w:r>
        <w:rPr>
          <w:rFonts w:hint="eastAsia"/>
          <w:color w:val="000000"/>
          <w:szCs w:val="21"/>
        </w:rPr>
        <w:t>法定代表人：</w:t>
      </w:r>
      <w:r>
        <w:rPr>
          <w:color w:val="000000"/>
          <w:szCs w:val="21"/>
          <w:u w:val="single"/>
        </w:rPr>
        <w:t xml:space="preserve">                                     </w:t>
      </w:r>
    </w:p>
    <w:p>
      <w:pPr>
        <w:keepNext w:val="0"/>
        <w:keepLines w:val="0"/>
        <w:pageBreakBefore w:val="0"/>
        <w:widowControl w:val="0"/>
        <w:kinsoku/>
        <w:overflowPunct/>
        <w:topLinePunct w:val="0"/>
        <w:bidi w:val="0"/>
        <w:spacing w:after="60" w:line="360" w:lineRule="auto"/>
        <w:ind w:left="-1"/>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pPr>
        <w:pStyle w:val="11"/>
        <w:ind w:firstLine="0"/>
        <w:rPr>
          <w:color w:val="FF0000"/>
          <w:szCs w:val="21"/>
          <w:highlight w:val="none"/>
        </w:rPr>
      </w:pPr>
      <w:r>
        <w:rPr>
          <w:rFonts w:hint="eastAsia"/>
          <w:color w:val="FF0000"/>
          <w:szCs w:val="21"/>
          <w:highlight w:val="none"/>
        </w:rPr>
        <w:t>附：授权</w:t>
      </w:r>
      <w:r>
        <w:rPr>
          <w:rFonts w:hint="eastAsia" w:cs="Arial"/>
          <w:color w:val="FF0000"/>
          <w:szCs w:val="21"/>
          <w:highlight w:val="none"/>
        </w:rPr>
        <w:t>委托人</w:t>
      </w:r>
      <w:r>
        <w:rPr>
          <w:rFonts w:hint="eastAsia"/>
          <w:color w:val="FF0000"/>
          <w:szCs w:val="21"/>
          <w:highlight w:val="none"/>
        </w:rPr>
        <w:t>身份证扫描件</w:t>
      </w:r>
      <w:r>
        <w:rPr>
          <w:rFonts w:hint="eastAsia"/>
          <w:color w:val="FF0000"/>
          <w:szCs w:val="21"/>
          <w:highlight w:val="none"/>
          <w:lang w:eastAsia="zh-CN"/>
        </w:rPr>
        <w:t>、</w:t>
      </w:r>
      <w:r>
        <w:rPr>
          <w:rFonts w:hint="eastAsia"/>
          <w:b/>
          <w:bCs/>
          <w:color w:val="FF0000"/>
          <w:szCs w:val="21"/>
          <w:highlight w:val="none"/>
          <w:lang w:eastAsia="zh-CN"/>
        </w:rPr>
        <w:t>授权委托人需提供社保缴纳证明其为该司员工。</w:t>
      </w:r>
    </w:p>
    <w:p>
      <w:pPr>
        <w:pStyle w:val="11"/>
        <w:ind w:firstLine="0"/>
        <w:rPr>
          <w:rFonts w:ascii="宋体" w:hAnsi="宋体" w:cs="宋体"/>
          <w:color w:val="FF0000"/>
          <w:szCs w:val="21"/>
          <w:highlight w:val="none"/>
        </w:rPr>
      </w:pPr>
      <w:r>
        <w:rPr>
          <w:rFonts w:hint="eastAsia" w:ascii="宋体" w:hAnsi="宋体" w:cs="宋体"/>
          <w:color w:val="FF0000"/>
          <w:szCs w:val="21"/>
          <w:highlight w:val="none"/>
        </w:rPr>
        <w:t>注：需与报名投标人保持一致，若开标时更换投标人参加开标，则需要重新授权并盖公章。</w:t>
      </w:r>
    </w:p>
    <w:p>
      <w:pPr>
        <w:keepNext w:val="0"/>
        <w:keepLines w:val="0"/>
        <w:pageBreakBefore w:val="0"/>
        <w:widowControl w:val="0"/>
        <w:kinsoku/>
        <w:overflowPunct/>
        <w:topLinePunct w:val="0"/>
        <w:bidi w:val="0"/>
        <w:spacing w:after="60" w:line="360" w:lineRule="auto"/>
        <w:ind w:left="-1"/>
        <w:rPr>
          <w:color w:val="000000"/>
          <w:szCs w:val="21"/>
        </w:rPr>
      </w:pPr>
    </w:p>
    <w:p>
      <w:pPr>
        <w:keepNext w:val="0"/>
        <w:keepLines w:val="0"/>
        <w:pageBreakBefore w:val="0"/>
        <w:widowControl w:val="0"/>
        <w:kinsoku/>
        <w:overflowPunct/>
        <w:topLinePunct w:val="0"/>
        <w:bidi w:val="0"/>
        <w:spacing w:after="60" w:line="360" w:lineRule="auto"/>
        <w:ind w:left="-1"/>
        <w:rPr>
          <w:color w:val="000000"/>
          <w:szCs w:val="21"/>
        </w:rPr>
      </w:pPr>
    </w:p>
    <w:p>
      <w:pPr>
        <w:keepNext w:val="0"/>
        <w:keepLines w:val="0"/>
        <w:pageBreakBefore w:val="0"/>
        <w:widowControl w:val="0"/>
        <w:kinsoku/>
        <w:overflowPunct/>
        <w:topLinePunct w:val="0"/>
        <w:bidi w:val="0"/>
        <w:spacing w:after="60" w:line="360" w:lineRule="auto"/>
        <w:ind w:left="-1"/>
        <w:rPr>
          <w:color w:val="000000"/>
          <w:szCs w:val="21"/>
        </w:rPr>
      </w:pPr>
    </w:p>
    <w:p>
      <w:pPr>
        <w:keepNext w:val="0"/>
        <w:keepLines w:val="0"/>
        <w:pageBreakBefore w:val="0"/>
        <w:widowControl w:val="0"/>
        <w:kinsoku/>
        <w:overflowPunct/>
        <w:topLinePunct w:val="0"/>
        <w:bidi w:val="0"/>
        <w:spacing w:after="60" w:line="360" w:lineRule="auto"/>
        <w:ind w:left="-1"/>
        <w:rPr>
          <w:color w:val="000000"/>
          <w:szCs w:val="21"/>
        </w:rPr>
      </w:pPr>
    </w:p>
    <w:p>
      <w:pPr>
        <w:keepNext w:val="0"/>
        <w:keepLines w:val="0"/>
        <w:pageBreakBefore w:val="0"/>
        <w:widowControl w:val="0"/>
        <w:kinsoku/>
        <w:overflowPunct/>
        <w:topLinePunct w:val="0"/>
        <w:bidi w:val="0"/>
        <w:spacing w:after="60" w:line="360" w:lineRule="auto"/>
        <w:ind w:left="-1"/>
        <w:rPr>
          <w:color w:val="000000"/>
          <w:szCs w:val="21"/>
        </w:rPr>
      </w:pPr>
    </w:p>
    <w:p>
      <w:pPr>
        <w:pStyle w:val="30"/>
        <w:keepNext w:val="0"/>
        <w:keepLines w:val="0"/>
        <w:pageBreakBefore w:val="0"/>
        <w:widowControl w:val="0"/>
        <w:kinsoku/>
        <w:overflowPunct/>
        <w:topLinePunct w:val="0"/>
        <w:bidi w:val="0"/>
        <w:rPr>
          <w:color w:val="000000"/>
          <w:szCs w:val="21"/>
        </w:rPr>
      </w:pPr>
    </w:p>
    <w:p>
      <w:pPr>
        <w:pStyle w:val="30"/>
        <w:keepNext w:val="0"/>
        <w:keepLines w:val="0"/>
        <w:pageBreakBefore w:val="0"/>
        <w:widowControl w:val="0"/>
        <w:kinsoku/>
        <w:overflowPunct/>
        <w:topLinePunct w:val="0"/>
        <w:bidi w:val="0"/>
        <w:rPr>
          <w:color w:val="000000"/>
          <w:szCs w:val="21"/>
        </w:rPr>
      </w:pPr>
    </w:p>
    <w:p>
      <w:pPr>
        <w:pStyle w:val="30"/>
        <w:keepNext w:val="0"/>
        <w:keepLines w:val="0"/>
        <w:pageBreakBefore w:val="0"/>
        <w:widowControl w:val="0"/>
        <w:kinsoku/>
        <w:overflowPunct/>
        <w:topLinePunct w:val="0"/>
        <w:bidi w:val="0"/>
        <w:rPr>
          <w:color w:val="000000"/>
          <w:szCs w:val="21"/>
        </w:rPr>
      </w:pPr>
    </w:p>
    <w:p>
      <w:pPr>
        <w:pStyle w:val="30"/>
        <w:keepNext w:val="0"/>
        <w:keepLines w:val="0"/>
        <w:pageBreakBefore w:val="0"/>
        <w:widowControl w:val="0"/>
        <w:kinsoku/>
        <w:overflowPunct/>
        <w:topLinePunct w:val="0"/>
        <w:bidi w:val="0"/>
        <w:rPr>
          <w:color w:val="000000"/>
          <w:szCs w:val="21"/>
        </w:rPr>
      </w:pPr>
    </w:p>
    <w:p>
      <w:pPr>
        <w:keepNext w:val="0"/>
        <w:keepLines w:val="0"/>
        <w:pageBreakBefore w:val="0"/>
        <w:widowControl w:val="0"/>
        <w:kinsoku/>
        <w:overflowPunct/>
        <w:topLinePunct w:val="0"/>
        <w:bidi w:val="0"/>
        <w:spacing w:after="60" w:line="360" w:lineRule="auto"/>
        <w:rPr>
          <w:color w:val="000000"/>
          <w:szCs w:val="21"/>
        </w:rPr>
      </w:pPr>
    </w:p>
    <w:p>
      <w:pPr>
        <w:keepNext w:val="0"/>
        <w:keepLines w:val="0"/>
        <w:pageBreakBefore w:val="0"/>
        <w:widowControl w:val="0"/>
        <w:kinsoku/>
        <w:overflowPunct/>
        <w:topLinePunct w:val="0"/>
        <w:bidi w:val="0"/>
        <w:spacing w:after="60" w:line="360" w:lineRule="auto"/>
        <w:ind w:left="-1"/>
        <w:rPr>
          <w:color w:val="000000"/>
          <w:szCs w:val="21"/>
        </w:rPr>
      </w:pPr>
    </w:p>
    <w:p>
      <w:pPr>
        <w:keepNext w:val="0"/>
        <w:keepLines w:val="0"/>
        <w:pageBreakBefore w:val="0"/>
        <w:widowControl w:val="0"/>
        <w:kinsoku/>
        <w:overflowPunct/>
        <w:topLinePunct w:val="0"/>
        <w:bidi w:val="0"/>
        <w:spacing w:after="60" w:line="360" w:lineRule="auto"/>
        <w:ind w:left="-1"/>
        <w:rPr>
          <w:color w:val="000000"/>
          <w:szCs w:val="21"/>
        </w:rPr>
        <w:sectPr>
          <w:pgSz w:w="11906" w:h="16838"/>
          <w:pgMar w:top="1440" w:right="1797" w:bottom="1440" w:left="1797" w:header="851" w:footer="992" w:gutter="0"/>
          <w:paperSrc w:first="15"/>
          <w:pgBorders>
            <w:top w:val="none" w:sz="0" w:space="0"/>
            <w:left w:val="none" w:sz="0" w:space="0"/>
            <w:bottom w:val="none" w:sz="0" w:space="0"/>
            <w:right w:val="none" w:sz="0" w:space="0"/>
          </w:pgBorders>
          <w:pgNumType w:fmt="numberInDash" w:chapStyle="1"/>
          <w:cols w:space="720" w:num="1"/>
          <w:docGrid w:type="lines" w:linePitch="312" w:charSpace="0"/>
        </w:sectPr>
      </w:pPr>
    </w:p>
    <w:p>
      <w:pPr>
        <w:pStyle w:val="3"/>
        <w:keepNext w:val="0"/>
        <w:keepLines w:val="0"/>
        <w:numPr>
          <w:ilvl w:val="0"/>
          <w:numId w:val="4"/>
        </w:numPr>
        <w:spacing w:line="579" w:lineRule="auto"/>
        <w:jc w:val="center"/>
        <w:rPr>
          <w:rFonts w:hint="eastAsia" w:ascii="黑体" w:hAnsi="黑体" w:eastAsia="黑体"/>
          <w:bCs w:val="0"/>
          <w:color w:val="000000" w:themeColor="text1"/>
          <w:sz w:val="32"/>
          <w:szCs w:val="32"/>
          <w:lang w:val="en-US" w:eastAsia="zh-CN"/>
          <w14:textFill>
            <w14:solidFill>
              <w14:schemeClr w14:val="tx1"/>
            </w14:solidFill>
          </w14:textFill>
        </w:rPr>
      </w:pPr>
      <w:bookmarkStart w:id="30" w:name="_Toc11302"/>
      <w:bookmarkStart w:id="31" w:name="_Toc19186"/>
      <w:bookmarkStart w:id="32" w:name="_Toc4109"/>
      <w:r>
        <w:rPr>
          <w:rFonts w:hint="eastAsia" w:ascii="黑体" w:hAnsi="黑体" w:eastAsia="黑体"/>
          <w:bCs w:val="0"/>
          <w:color w:val="000000" w:themeColor="text1"/>
          <w:sz w:val="32"/>
          <w:szCs w:val="32"/>
          <w:lang w:val="en-US" w:eastAsia="zh-CN"/>
          <w14:textFill>
            <w14:solidFill>
              <w14:schemeClr w14:val="tx1"/>
            </w14:solidFill>
          </w14:textFill>
        </w:rPr>
        <w:t>授权委托人身份证明</w:t>
      </w:r>
      <w:bookmarkEnd w:id="30"/>
      <w:bookmarkEnd w:id="31"/>
      <w:bookmarkEnd w:id="32"/>
    </w:p>
    <w:p>
      <w:pPr>
        <w:pStyle w:val="11"/>
        <w:ind w:firstLine="0"/>
        <w:jc w:val="center"/>
        <w:rPr>
          <w:color w:val="auto"/>
          <w:szCs w:val="21"/>
        </w:rPr>
      </w:pPr>
      <w:r>
        <w:rPr>
          <w:rFonts w:hint="eastAsia"/>
          <w:color w:val="auto"/>
          <w:szCs w:val="21"/>
          <w:lang w:eastAsia="zh-CN"/>
        </w:rPr>
        <w:t>（</w:t>
      </w:r>
      <w:r>
        <w:rPr>
          <w:rFonts w:hint="eastAsia"/>
          <w:color w:val="auto"/>
          <w:szCs w:val="21"/>
        </w:rPr>
        <w:t>授权</w:t>
      </w:r>
      <w:r>
        <w:rPr>
          <w:rFonts w:hint="eastAsia" w:cs="Arial"/>
          <w:color w:val="auto"/>
          <w:szCs w:val="21"/>
        </w:rPr>
        <w:t>委托人</w:t>
      </w:r>
      <w:r>
        <w:rPr>
          <w:rFonts w:hint="eastAsia"/>
          <w:color w:val="auto"/>
          <w:szCs w:val="21"/>
        </w:rPr>
        <w:t>身份证扫描件</w:t>
      </w:r>
      <w:r>
        <w:rPr>
          <w:rFonts w:hint="eastAsia"/>
          <w:color w:val="auto"/>
          <w:szCs w:val="21"/>
          <w:lang w:eastAsia="zh-CN"/>
        </w:rPr>
        <w:t>、</w:t>
      </w:r>
      <w:r>
        <w:rPr>
          <w:rFonts w:hint="eastAsia"/>
          <w:b/>
          <w:bCs/>
          <w:color w:val="auto"/>
          <w:szCs w:val="21"/>
          <w:lang w:eastAsia="zh-CN"/>
        </w:rPr>
        <w:t>社保缴纳证明其为该司员工）</w:t>
      </w:r>
    </w:p>
    <w:p>
      <w:pPr>
        <w:numPr>
          <w:ilvl w:val="0"/>
          <w:numId w:val="0"/>
        </w:numPr>
        <w:jc w:val="center"/>
        <w:rPr>
          <w:rFonts w:hint="eastAsia"/>
          <w:lang w:val="en-US" w:eastAsia="zh-CN"/>
        </w:rPr>
      </w:pPr>
      <w:r>
        <w:rPr>
          <w:rFonts w:hint="eastAsia" w:ascii="宋体" w:hAnsi="宋体" w:cs="宋体"/>
          <w:color w:val="FF0000"/>
          <w:szCs w:val="21"/>
        </w:rPr>
        <w:t>注：需与报名投标人保持一致，若开标时更换投标人参加开标，则需要重新授权并盖公章。</w:t>
      </w:r>
    </w:p>
    <w:p>
      <w:pPr>
        <w:pStyle w:val="2"/>
        <w:rPr>
          <w:rFonts w:hint="eastAsia" w:ascii="宋体" w:hAnsi="宋体" w:cs="宋体"/>
          <w:color w:val="FF0000"/>
          <w:szCs w:val="21"/>
        </w:rPr>
      </w:pPr>
    </w:p>
    <w:p>
      <w:pPr>
        <w:pStyle w:val="2"/>
        <w:rPr>
          <w:rFonts w:hint="eastAsia" w:ascii="Arial" w:hAnsi="Arial" w:cs="Arial"/>
          <w:b/>
          <w:bCs/>
          <w:szCs w:val="21"/>
        </w:rPr>
      </w:pPr>
    </w:p>
    <w:p>
      <w:pPr>
        <w:pStyle w:val="2"/>
        <w:rPr>
          <w:rFonts w:hint="eastAsia" w:ascii="Arial" w:hAnsi="Arial" w:cs="Arial"/>
          <w:b/>
          <w:bCs/>
          <w:szCs w:val="21"/>
        </w:rPr>
      </w:pPr>
    </w:p>
    <w:p>
      <w:pPr>
        <w:pStyle w:val="2"/>
        <w:rPr>
          <w:rFonts w:hint="eastAsia" w:ascii="Arial" w:hAnsi="Arial" w:cs="Arial"/>
          <w:b/>
          <w:bCs/>
          <w:szCs w:val="21"/>
        </w:rPr>
      </w:pPr>
    </w:p>
    <w:p>
      <w:pPr>
        <w:pStyle w:val="2"/>
        <w:rPr>
          <w:rFonts w:hint="eastAsia" w:ascii="Arial" w:hAnsi="Arial" w:cs="Arial"/>
          <w:b/>
          <w:bCs/>
          <w:szCs w:val="21"/>
        </w:rPr>
      </w:pPr>
    </w:p>
    <w:p>
      <w:pPr>
        <w:pStyle w:val="2"/>
        <w:rPr>
          <w:rFonts w:hint="eastAsia" w:ascii="Arial" w:hAnsi="Arial" w:cs="Arial"/>
          <w:b/>
          <w:bCs/>
          <w:szCs w:val="21"/>
        </w:rPr>
      </w:pPr>
    </w:p>
    <w:p>
      <w:pPr>
        <w:pStyle w:val="2"/>
        <w:rPr>
          <w:rFonts w:hint="eastAsia" w:ascii="Arial" w:hAnsi="Arial" w:cs="Arial"/>
          <w:b/>
          <w:bCs/>
          <w:szCs w:val="21"/>
        </w:rPr>
      </w:pPr>
    </w:p>
    <w:p>
      <w:pPr>
        <w:pStyle w:val="2"/>
        <w:rPr>
          <w:rFonts w:hint="eastAsia" w:ascii="Arial" w:hAnsi="Arial" w:cs="Arial"/>
          <w:b/>
          <w:bCs/>
          <w:szCs w:val="21"/>
        </w:rPr>
      </w:pPr>
    </w:p>
    <w:p>
      <w:pPr>
        <w:pStyle w:val="2"/>
        <w:rPr>
          <w:rFonts w:hint="eastAsia" w:ascii="Arial" w:hAnsi="Arial" w:cs="Arial"/>
          <w:b/>
          <w:bCs/>
          <w:szCs w:val="21"/>
        </w:rPr>
      </w:pPr>
    </w:p>
    <w:p>
      <w:pPr>
        <w:pStyle w:val="3"/>
        <w:keepNext w:val="0"/>
        <w:keepLines w:val="0"/>
        <w:spacing w:line="579" w:lineRule="auto"/>
        <w:jc w:val="center"/>
        <w:rPr>
          <w:rFonts w:hint="eastAsia" w:ascii="黑体" w:hAnsi="黑体" w:eastAsia="黑体" w:cs="Times New Roman"/>
          <w:bCs w:val="0"/>
          <w:sz w:val="32"/>
          <w:szCs w:val="32"/>
          <w:lang w:val="en-US" w:eastAsia="zh-CN"/>
        </w:rPr>
      </w:pPr>
    </w:p>
    <w:p>
      <w:pPr>
        <w:pStyle w:val="3"/>
        <w:keepNext w:val="0"/>
        <w:keepLines w:val="0"/>
        <w:spacing w:line="579" w:lineRule="auto"/>
        <w:jc w:val="center"/>
        <w:rPr>
          <w:rFonts w:hint="eastAsia" w:ascii="黑体" w:hAnsi="黑体" w:eastAsia="黑体" w:cs="Times New Roman"/>
          <w:bCs w:val="0"/>
          <w:sz w:val="32"/>
          <w:szCs w:val="32"/>
          <w:lang w:val="en-US" w:eastAsia="zh-CN"/>
        </w:rPr>
      </w:pPr>
    </w:p>
    <w:p>
      <w:pPr>
        <w:pStyle w:val="3"/>
        <w:keepNext w:val="0"/>
        <w:keepLines w:val="0"/>
        <w:spacing w:line="579" w:lineRule="auto"/>
        <w:jc w:val="center"/>
        <w:rPr>
          <w:rFonts w:hint="eastAsia" w:ascii="黑体" w:hAnsi="黑体" w:eastAsia="黑体" w:cs="Times New Roman"/>
          <w:bCs w:val="0"/>
          <w:sz w:val="32"/>
          <w:szCs w:val="32"/>
          <w:lang w:val="en-US" w:eastAsia="zh-CN"/>
        </w:rPr>
      </w:pPr>
    </w:p>
    <w:p>
      <w:pPr>
        <w:pStyle w:val="3"/>
        <w:keepNext w:val="0"/>
        <w:keepLines w:val="0"/>
        <w:spacing w:line="579" w:lineRule="auto"/>
        <w:jc w:val="center"/>
        <w:rPr>
          <w:rFonts w:hint="eastAsia" w:ascii="黑体" w:hAnsi="黑体" w:eastAsia="黑体" w:cs="Times New Roman"/>
          <w:bCs w:val="0"/>
          <w:sz w:val="32"/>
          <w:szCs w:val="32"/>
          <w:lang w:val="en-US" w:eastAsia="zh-CN"/>
        </w:rPr>
      </w:pPr>
    </w:p>
    <w:p>
      <w:pPr>
        <w:pStyle w:val="3"/>
        <w:keepNext w:val="0"/>
        <w:keepLines w:val="0"/>
        <w:spacing w:line="579" w:lineRule="auto"/>
        <w:jc w:val="center"/>
        <w:rPr>
          <w:rFonts w:hint="eastAsia" w:ascii="黑体" w:hAnsi="黑体" w:eastAsia="黑体" w:cs="Times New Roman"/>
          <w:bCs w:val="0"/>
          <w:sz w:val="32"/>
          <w:szCs w:val="32"/>
          <w:lang w:val="en-US" w:eastAsia="zh-CN"/>
        </w:rPr>
      </w:pPr>
    </w:p>
    <w:p>
      <w:pPr>
        <w:pStyle w:val="3"/>
        <w:keepNext w:val="0"/>
        <w:keepLines w:val="0"/>
        <w:spacing w:line="579" w:lineRule="auto"/>
        <w:jc w:val="center"/>
        <w:rPr>
          <w:rFonts w:hint="eastAsia" w:ascii="黑体" w:hAnsi="黑体" w:eastAsia="黑体" w:cs="Times New Roman"/>
          <w:bCs w:val="0"/>
          <w:sz w:val="32"/>
          <w:szCs w:val="32"/>
          <w:lang w:val="en-US" w:eastAsia="zh-CN"/>
        </w:rPr>
      </w:pPr>
    </w:p>
    <w:p>
      <w:pPr>
        <w:pStyle w:val="3"/>
        <w:keepNext w:val="0"/>
        <w:keepLines w:val="0"/>
        <w:spacing w:line="579" w:lineRule="auto"/>
        <w:jc w:val="center"/>
        <w:rPr>
          <w:rFonts w:hint="eastAsia" w:ascii="黑体" w:hAnsi="黑体" w:eastAsia="黑体" w:cs="Times New Roman"/>
          <w:bCs w:val="0"/>
          <w:sz w:val="32"/>
          <w:szCs w:val="32"/>
          <w:lang w:val="en-US" w:eastAsia="zh-CN"/>
        </w:rPr>
      </w:pPr>
    </w:p>
    <w:p>
      <w:pPr>
        <w:pStyle w:val="3"/>
        <w:keepNext w:val="0"/>
        <w:keepLines w:val="0"/>
        <w:spacing w:line="579" w:lineRule="auto"/>
        <w:jc w:val="center"/>
        <w:rPr>
          <w:rFonts w:hint="eastAsia" w:ascii="黑体" w:hAnsi="黑体" w:eastAsia="黑体" w:cs="Times New Roman"/>
          <w:bCs w:val="0"/>
          <w:sz w:val="32"/>
          <w:szCs w:val="32"/>
          <w:lang w:val="en-US" w:eastAsia="zh-CN"/>
        </w:rPr>
      </w:pPr>
    </w:p>
    <w:p>
      <w:pPr>
        <w:pStyle w:val="3"/>
        <w:keepNext w:val="0"/>
        <w:keepLines w:val="0"/>
        <w:spacing w:line="579" w:lineRule="auto"/>
        <w:jc w:val="center"/>
        <w:rPr>
          <w:rFonts w:ascii="黑体" w:hAnsi="黑体" w:eastAsia="黑体" w:cs="Times New Roman"/>
          <w:bCs w:val="0"/>
          <w:sz w:val="32"/>
          <w:szCs w:val="32"/>
        </w:rPr>
      </w:pPr>
      <w:bookmarkStart w:id="33" w:name="_Toc10979"/>
      <w:bookmarkStart w:id="34" w:name="_Toc21827"/>
      <w:r>
        <w:rPr>
          <w:rFonts w:hint="eastAsia" w:ascii="黑体" w:hAnsi="黑体" w:eastAsia="黑体" w:cs="Times New Roman"/>
          <w:bCs w:val="0"/>
          <w:sz w:val="32"/>
          <w:szCs w:val="32"/>
          <w:lang w:val="en-US" w:eastAsia="zh-CN"/>
        </w:rPr>
        <w:t>6、</w:t>
      </w:r>
      <w:r>
        <w:rPr>
          <w:rFonts w:hint="eastAsia" w:ascii="黑体" w:hAnsi="黑体" w:eastAsia="黑体" w:cs="Times New Roman"/>
          <w:bCs w:val="0"/>
          <w:sz w:val="32"/>
          <w:szCs w:val="32"/>
        </w:rPr>
        <w:t>2个指定网站的信用信息查询记录网络截图件</w:t>
      </w:r>
      <w:bookmarkEnd w:id="33"/>
      <w:bookmarkEnd w:id="34"/>
    </w:p>
    <w:p>
      <w:pPr>
        <w:ind w:left="-1"/>
        <w:jc w:val="center"/>
        <w:rPr>
          <w:rFonts w:ascii="仿宋" w:hAnsi="仿宋" w:eastAsia="仿宋" w:cs="宋体"/>
          <w:b/>
          <w:kern w:val="0"/>
          <w:sz w:val="24"/>
        </w:rPr>
      </w:pPr>
    </w:p>
    <w:p>
      <w:pPr>
        <w:jc w:val="center"/>
        <w:rPr>
          <w:rFonts w:ascii="仿宋" w:hAnsi="仿宋" w:eastAsia="仿宋" w:cs="宋体"/>
          <w:b/>
          <w:kern w:val="0"/>
          <w:sz w:val="24"/>
        </w:rPr>
      </w:pPr>
      <w:r>
        <w:rPr>
          <w:rFonts w:hint="eastAsia" w:ascii="仿宋" w:hAnsi="仿宋" w:eastAsia="仿宋" w:cs="宋体"/>
          <w:b/>
          <w:kern w:val="0"/>
          <w:sz w:val="24"/>
          <w:lang w:val="en-US" w:eastAsia="zh-CN"/>
        </w:rPr>
        <w:t>6</w:t>
      </w:r>
      <w:r>
        <w:rPr>
          <w:rFonts w:hint="eastAsia" w:ascii="仿宋" w:hAnsi="仿宋" w:eastAsia="仿宋" w:cs="宋体"/>
          <w:b/>
          <w:kern w:val="0"/>
          <w:sz w:val="24"/>
        </w:rPr>
        <w:t>.1信用中国信用信息查询记录网络截图件</w:t>
      </w:r>
    </w:p>
    <w:p>
      <w:pPr>
        <w:jc w:val="center"/>
        <w:rPr>
          <w:rFonts w:ascii="仿宋" w:hAnsi="仿宋" w:eastAsia="仿宋" w:cs="宋体"/>
          <w:b/>
          <w:kern w:val="0"/>
          <w:sz w:val="24"/>
        </w:rPr>
      </w:pPr>
      <w:r>
        <w:rPr>
          <w:rFonts w:hint="eastAsia" w:ascii="仿宋" w:hAnsi="仿宋" w:eastAsia="仿宋" w:cs="宋体"/>
          <w:b/>
          <w:kern w:val="0"/>
          <w:sz w:val="24"/>
        </w:rPr>
        <w:t>“信用中国”网（</w:t>
      </w:r>
      <w:r>
        <w:rPr>
          <w:rFonts w:ascii="Times New Roman" w:hAnsi="Times New Roman" w:cs="Times New Roman"/>
        </w:rPr>
        <w:fldChar w:fldCharType="begin"/>
      </w:r>
      <w:r>
        <w:rPr>
          <w:rFonts w:ascii="Times New Roman" w:hAnsi="Times New Roman" w:cs="Times New Roman"/>
        </w:rPr>
        <w:instrText xml:space="preserve"> HYPERLINK "http://www.creditchina.gov.cn" </w:instrText>
      </w:r>
      <w:r>
        <w:rPr>
          <w:rFonts w:ascii="Times New Roman" w:hAnsi="Times New Roman" w:cs="Times New Roman"/>
        </w:rPr>
        <w:fldChar w:fldCharType="separate"/>
      </w:r>
      <w:r>
        <w:rPr>
          <w:rFonts w:hint="eastAsia" w:ascii="仿宋" w:hAnsi="仿宋" w:eastAsia="仿宋" w:cs="宋体"/>
          <w:b/>
          <w:kern w:val="0"/>
          <w:sz w:val="24"/>
        </w:rPr>
        <w:t>www.creditchina.gov.cn</w:t>
      </w:r>
      <w:r>
        <w:rPr>
          <w:rFonts w:hint="eastAsia" w:ascii="仿宋" w:hAnsi="仿宋" w:eastAsia="仿宋" w:cs="宋体"/>
          <w:b/>
          <w:kern w:val="0"/>
          <w:sz w:val="24"/>
        </w:rPr>
        <w:fldChar w:fldCharType="end"/>
      </w:r>
      <w:r>
        <w:rPr>
          <w:rFonts w:hint="eastAsia" w:ascii="仿宋" w:hAnsi="仿宋" w:eastAsia="仿宋" w:cs="宋体"/>
          <w:b/>
          <w:kern w:val="0"/>
          <w:sz w:val="24"/>
        </w:rPr>
        <w:t>）</w:t>
      </w:r>
    </w:p>
    <w:p>
      <w:pPr>
        <w:jc w:val="center"/>
        <w:rPr>
          <w:rFonts w:ascii="仿宋" w:hAnsi="仿宋" w:eastAsia="仿宋" w:cs="宋体"/>
          <w:bCs/>
          <w:kern w:val="0"/>
          <w:szCs w:val="21"/>
        </w:rPr>
      </w:pPr>
      <w:r>
        <w:rPr>
          <w:rFonts w:hint="eastAsia" w:ascii="仿宋" w:hAnsi="仿宋" w:eastAsia="仿宋" w:cs="宋体"/>
          <w:bCs/>
          <w:kern w:val="0"/>
          <w:szCs w:val="21"/>
        </w:rPr>
        <w:t>提示：必须显示信用记录情况</w:t>
      </w:r>
    </w:p>
    <w:p>
      <w:pPr>
        <w:ind w:left="-1" w:firstLine="930" w:firstLineChars="443"/>
        <w:jc w:val="center"/>
        <w:rPr>
          <w:rFonts w:ascii="仿宋" w:hAnsi="仿宋" w:eastAsia="仿宋" w:cs="宋体"/>
          <w:bCs/>
          <w:kern w:val="0"/>
          <w:szCs w:val="21"/>
        </w:rPr>
      </w:pPr>
    </w:p>
    <w:p>
      <w:pPr>
        <w:ind w:left="-1" w:firstLine="930" w:firstLineChars="443"/>
        <w:jc w:val="center"/>
      </w:pPr>
      <w:r>
        <w:rPr>
          <w:rFonts w:ascii="Times New Roman" w:hAnsi="Times New Roman" w:cs="Times New Roman"/>
        </w:rPr>
        <w:t>查询路径</w:t>
      </w:r>
      <w:r>
        <w:rPr>
          <w:rFonts w:hint="eastAsia" w:ascii="Times New Roman" w:hAnsi="Times New Roman" w:cs="Times New Roman"/>
        </w:rPr>
        <w:t>：</w:t>
      </w:r>
      <w:r>
        <w:rPr>
          <w:rFonts w:hint="eastAsia" w:ascii="仿宋" w:hAnsi="仿宋" w:eastAsia="仿宋" w:cs="宋体"/>
          <w:bCs/>
          <w:kern w:val="0"/>
          <w:szCs w:val="21"/>
        </w:rPr>
        <w:t xml:space="preserve"> </w:t>
      </w:r>
      <w:r>
        <w:rPr>
          <w:rFonts w:hint="eastAsia" w:ascii="Times New Roman" w:hAnsi="Times New Roman" w:cs="Times New Roman"/>
        </w:rPr>
        <w:t>“信用服务”栏的“失信被执行人”和“重大税收违法案件当事人名单”查询结果截图。注明查询时间。</w:t>
      </w:r>
    </w:p>
    <w:p>
      <w:pPr>
        <w:ind w:left="-1" w:firstLine="930" w:firstLineChars="443"/>
        <w:jc w:val="center"/>
        <w:rPr>
          <w:rFonts w:ascii="仿宋" w:hAnsi="仿宋" w:eastAsia="仿宋" w:cs="宋体"/>
          <w:bCs/>
          <w:kern w:val="0"/>
          <w:szCs w:val="21"/>
        </w:rPr>
      </w:pPr>
    </w:p>
    <w:p>
      <w:pPr>
        <w:ind w:left="-1" w:firstLine="930" w:firstLineChars="443"/>
        <w:jc w:val="center"/>
        <w:rPr>
          <w:rFonts w:ascii="仿宋" w:hAnsi="仿宋" w:eastAsia="仿宋" w:cs="宋体"/>
          <w:bCs/>
          <w:kern w:val="0"/>
          <w:szCs w:val="21"/>
        </w:rPr>
      </w:pPr>
    </w:p>
    <w:tbl>
      <w:tblPr>
        <w:tblStyle w:val="28"/>
        <w:tblW w:w="8081" w:type="dxa"/>
        <w:tblInd w:w="42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808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4440" w:hRule="atLeast"/>
        </w:trPr>
        <w:tc>
          <w:tcPr>
            <w:tcW w:w="8081" w:type="dxa"/>
          </w:tcPr>
          <w:p>
            <w:pPr>
              <w:spacing w:after="78" w:afterLines="25" w:line="300" w:lineRule="auto"/>
              <w:ind w:left="-1"/>
              <w:jc w:val="center"/>
              <w:rPr>
                <w:b/>
                <w:color w:val="000000"/>
                <w:sz w:val="28"/>
                <w:szCs w:val="28"/>
              </w:rPr>
            </w:pPr>
          </w:p>
          <w:p>
            <w:pPr>
              <w:spacing w:after="78" w:afterLines="25" w:line="300" w:lineRule="auto"/>
              <w:ind w:left="-1"/>
              <w:jc w:val="center"/>
              <w:rPr>
                <w:b/>
                <w:color w:val="000000"/>
                <w:sz w:val="28"/>
                <w:szCs w:val="28"/>
              </w:rPr>
            </w:pPr>
          </w:p>
          <w:p>
            <w:pPr>
              <w:spacing w:after="78" w:afterLines="25" w:line="300" w:lineRule="auto"/>
              <w:ind w:left="-1"/>
              <w:jc w:val="center"/>
              <w:rPr>
                <w:b/>
                <w:color w:val="000000"/>
                <w:sz w:val="28"/>
                <w:szCs w:val="28"/>
              </w:rPr>
            </w:pPr>
          </w:p>
          <w:p>
            <w:pPr>
              <w:spacing w:after="78" w:afterLines="25" w:line="300" w:lineRule="auto"/>
              <w:ind w:left="-1"/>
              <w:jc w:val="center"/>
              <w:rPr>
                <w:b/>
                <w:color w:val="000000"/>
                <w:sz w:val="28"/>
                <w:szCs w:val="28"/>
              </w:rPr>
            </w:pPr>
            <w:r>
              <w:rPr>
                <w:rFonts w:hint="eastAsia" w:ascii="Times New Roman" w:hAnsi="Times New Roman" w:cs="Times New Roman"/>
                <w:b/>
                <w:color w:val="000000"/>
                <w:sz w:val="28"/>
                <w:szCs w:val="28"/>
              </w:rPr>
              <w:t>截  图  件  黏  贴  处</w:t>
            </w:r>
          </w:p>
          <w:p>
            <w:pPr>
              <w:spacing w:after="78" w:afterLines="25" w:line="300" w:lineRule="auto"/>
              <w:ind w:left="-1"/>
              <w:rPr>
                <w:b/>
                <w:color w:val="000000"/>
                <w:sz w:val="28"/>
                <w:szCs w:val="28"/>
              </w:rPr>
            </w:pPr>
          </w:p>
        </w:tc>
      </w:tr>
    </w:tbl>
    <w:p>
      <w:pPr>
        <w:spacing w:after="78" w:afterLines="25" w:line="300" w:lineRule="auto"/>
        <w:ind w:left="-1"/>
        <w:rPr>
          <w:b/>
          <w:color w:val="000000"/>
          <w:sz w:val="28"/>
          <w:szCs w:val="28"/>
        </w:rPr>
      </w:pPr>
    </w:p>
    <w:p>
      <w:pPr>
        <w:spacing w:after="78" w:afterLines="25" w:line="300" w:lineRule="auto"/>
        <w:ind w:left="-1"/>
        <w:rPr>
          <w:b/>
          <w:color w:val="000000"/>
          <w:sz w:val="28"/>
          <w:szCs w:val="28"/>
        </w:rPr>
      </w:pPr>
    </w:p>
    <w:p>
      <w:pPr>
        <w:spacing w:after="78" w:afterLines="25" w:line="300" w:lineRule="auto"/>
        <w:ind w:left="-1"/>
        <w:rPr>
          <w:b/>
          <w:color w:val="000000"/>
          <w:sz w:val="28"/>
          <w:szCs w:val="28"/>
        </w:rPr>
      </w:pPr>
    </w:p>
    <w:p>
      <w:pPr>
        <w:spacing w:after="78" w:afterLines="25" w:line="300" w:lineRule="auto"/>
        <w:ind w:left="-1"/>
        <w:rPr>
          <w:b/>
          <w:color w:val="000000"/>
          <w:sz w:val="28"/>
          <w:szCs w:val="28"/>
        </w:rPr>
      </w:pPr>
    </w:p>
    <w:p>
      <w:pPr>
        <w:spacing w:after="78" w:afterLines="25" w:line="300" w:lineRule="auto"/>
        <w:ind w:left="-1"/>
        <w:rPr>
          <w:b/>
          <w:color w:val="000000"/>
          <w:sz w:val="28"/>
          <w:szCs w:val="28"/>
        </w:rPr>
      </w:pPr>
    </w:p>
    <w:p>
      <w:pPr>
        <w:ind w:left="-1" w:firstLine="840" w:firstLineChars="350"/>
        <w:rPr>
          <w:sz w:val="24"/>
        </w:rPr>
      </w:pPr>
      <w:r>
        <w:rPr>
          <w:rFonts w:hint="eastAsia" w:ascii="宋体" w:hAnsi="宋体" w:cs="Times New Roman"/>
          <w:bCs/>
          <w:sz w:val="24"/>
        </w:rPr>
        <w:t>查询截图时间：</w:t>
      </w:r>
      <w:r>
        <w:rPr>
          <w:rFonts w:hint="eastAsia" w:ascii="宋体" w:hAnsi="宋体" w:cs="Times New Roman"/>
          <w:bCs/>
          <w:sz w:val="24"/>
          <w:u w:val="single"/>
        </w:rPr>
        <w:t xml:space="preserve">     </w:t>
      </w:r>
      <w:r>
        <w:rPr>
          <w:rFonts w:hint="eastAsia" w:ascii="宋体" w:hAnsi="宋体" w:cs="Times New Roman"/>
          <w:bCs/>
          <w:sz w:val="24"/>
        </w:rPr>
        <w:t>年</w:t>
      </w:r>
      <w:r>
        <w:rPr>
          <w:rFonts w:hint="eastAsia" w:ascii="宋体" w:hAnsi="宋体" w:cs="Times New Roman"/>
          <w:bCs/>
          <w:sz w:val="24"/>
          <w:u w:val="single"/>
        </w:rPr>
        <w:t xml:space="preserve">   </w:t>
      </w:r>
      <w:r>
        <w:rPr>
          <w:rFonts w:hint="eastAsia" w:ascii="宋体" w:hAnsi="宋体" w:cs="Times New Roman"/>
          <w:bCs/>
          <w:sz w:val="24"/>
        </w:rPr>
        <w:t>月</w:t>
      </w:r>
      <w:r>
        <w:rPr>
          <w:rFonts w:hint="eastAsia" w:ascii="宋体" w:hAnsi="宋体" w:cs="Times New Roman"/>
          <w:bCs/>
          <w:sz w:val="24"/>
          <w:u w:val="single"/>
        </w:rPr>
        <w:t xml:space="preserve">  </w:t>
      </w:r>
      <w:r>
        <w:rPr>
          <w:rFonts w:hint="eastAsia" w:ascii="宋体" w:hAnsi="宋体" w:cs="Times New Roman"/>
          <w:bCs/>
          <w:sz w:val="24"/>
        </w:rPr>
        <w:t>日</w:t>
      </w:r>
      <w:r>
        <w:rPr>
          <w:rFonts w:hint="eastAsia" w:ascii="宋体" w:hAnsi="宋体" w:cs="Times New Roman"/>
          <w:bCs/>
          <w:sz w:val="24"/>
          <w:u w:val="single"/>
        </w:rPr>
        <w:t xml:space="preserve">   </w:t>
      </w:r>
      <w:r>
        <w:rPr>
          <w:rFonts w:hint="eastAsia" w:ascii="宋体" w:hAnsi="宋体" w:cs="Times New Roman"/>
          <w:bCs/>
          <w:sz w:val="24"/>
        </w:rPr>
        <w:t>时</w:t>
      </w:r>
      <w:r>
        <w:rPr>
          <w:rFonts w:hint="eastAsia" w:ascii="宋体" w:hAnsi="宋体" w:cs="Times New Roman"/>
          <w:bCs/>
          <w:sz w:val="24"/>
          <w:u w:val="single"/>
        </w:rPr>
        <w:t xml:space="preserve">  </w:t>
      </w:r>
      <w:r>
        <w:rPr>
          <w:rFonts w:hint="eastAsia" w:ascii="宋体" w:hAnsi="宋体" w:cs="Times New Roman"/>
          <w:bCs/>
          <w:sz w:val="24"/>
        </w:rPr>
        <w:t>分（北京时间）</w:t>
      </w:r>
    </w:p>
    <w:p>
      <w:pPr>
        <w:adjustRightInd w:val="0"/>
        <w:snapToGrid w:val="0"/>
        <w:spacing w:line="360" w:lineRule="auto"/>
        <w:ind w:left="-1"/>
        <w:jc w:val="center"/>
        <w:rPr>
          <w:rFonts w:ascii="Arial" w:hAnsi="Arial" w:cs="Arial"/>
          <w:szCs w:val="21"/>
        </w:rPr>
      </w:pPr>
    </w:p>
    <w:p>
      <w:pPr>
        <w:adjustRightInd w:val="0"/>
        <w:snapToGrid w:val="0"/>
        <w:spacing w:line="360" w:lineRule="auto"/>
        <w:ind w:left="-1"/>
        <w:jc w:val="center"/>
        <w:rPr>
          <w:rFonts w:ascii="Arial" w:hAnsi="Arial" w:cs="Arial"/>
          <w:b/>
          <w:bCs/>
          <w:szCs w:val="21"/>
        </w:rPr>
      </w:pPr>
      <w:r>
        <w:rPr>
          <w:rFonts w:hint="eastAsia" w:ascii="Arial" w:hAnsi="Arial" w:cs="Arial"/>
          <w:b/>
          <w:bCs/>
          <w:szCs w:val="21"/>
        </w:rPr>
        <w:t>注：供应商必须按要求提供自己单位的信用信息查询记录网络截图件。</w:t>
      </w:r>
    </w:p>
    <w:p>
      <w:pPr>
        <w:pStyle w:val="31"/>
        <w:ind w:firstLine="420"/>
      </w:pPr>
    </w:p>
    <w:p>
      <w:pPr>
        <w:pStyle w:val="31"/>
        <w:ind w:firstLine="420"/>
      </w:pPr>
    </w:p>
    <w:p>
      <w:pPr>
        <w:pStyle w:val="31"/>
        <w:ind w:left="0" w:leftChars="0" w:firstLine="0" w:firstLineChars="0"/>
      </w:pPr>
    </w:p>
    <w:p>
      <w:pPr>
        <w:ind w:left="-1"/>
        <w:jc w:val="center"/>
        <w:rPr>
          <w:rFonts w:ascii="仿宋" w:hAnsi="仿宋" w:eastAsia="仿宋" w:cs="宋体"/>
          <w:b/>
          <w:kern w:val="0"/>
          <w:sz w:val="24"/>
        </w:rPr>
      </w:pPr>
    </w:p>
    <w:p>
      <w:pPr>
        <w:ind w:left="-1"/>
        <w:jc w:val="center"/>
        <w:rPr>
          <w:rFonts w:ascii="仿宋" w:hAnsi="仿宋" w:eastAsia="仿宋" w:cs="宋体"/>
          <w:b/>
          <w:kern w:val="0"/>
          <w:sz w:val="24"/>
        </w:rPr>
      </w:pPr>
      <w:r>
        <w:rPr>
          <w:rFonts w:hint="eastAsia" w:ascii="仿宋" w:hAnsi="仿宋" w:eastAsia="仿宋" w:cs="宋体"/>
          <w:b/>
          <w:kern w:val="0"/>
          <w:sz w:val="24"/>
          <w:lang w:val="en-US" w:eastAsia="zh-CN"/>
        </w:rPr>
        <w:t>6</w:t>
      </w:r>
      <w:r>
        <w:rPr>
          <w:rFonts w:hint="eastAsia" w:ascii="仿宋" w:hAnsi="仿宋" w:eastAsia="仿宋" w:cs="宋体"/>
          <w:b/>
          <w:kern w:val="0"/>
          <w:sz w:val="24"/>
        </w:rPr>
        <w:t>.2中国政府采购网信用信息查询记录网络截图件</w:t>
      </w:r>
    </w:p>
    <w:p>
      <w:pPr>
        <w:ind w:left="-1"/>
        <w:jc w:val="center"/>
      </w:pPr>
    </w:p>
    <w:p>
      <w:pPr>
        <w:ind w:left="-1"/>
        <w:jc w:val="center"/>
        <w:rPr>
          <w:rFonts w:ascii="仿宋" w:hAnsi="仿宋" w:eastAsia="仿宋" w:cs="宋体"/>
          <w:b/>
          <w:kern w:val="0"/>
          <w:sz w:val="24"/>
        </w:rPr>
      </w:pPr>
      <w:r>
        <w:rPr>
          <w:rFonts w:hint="eastAsia" w:ascii="仿宋" w:hAnsi="仿宋" w:eastAsia="仿宋" w:cs="宋体"/>
          <w:b/>
          <w:kern w:val="0"/>
          <w:sz w:val="24"/>
        </w:rPr>
        <w:t xml:space="preserve">中国政府采购网（www.ccgp.gov.cn）查询 </w:t>
      </w:r>
    </w:p>
    <w:p>
      <w:pPr>
        <w:ind w:left="-1"/>
        <w:jc w:val="center"/>
      </w:pPr>
      <w:r>
        <w:rPr>
          <w:rFonts w:ascii="Times New Roman" w:hAnsi="Times New Roman" w:cs="Times New Roman"/>
        </w:rPr>
        <w:t>查询路径</w:t>
      </w:r>
      <w:r>
        <w:rPr>
          <w:rFonts w:hint="eastAsia" w:ascii="Times New Roman" w:hAnsi="Times New Roman" w:cs="Times New Roman"/>
        </w:rPr>
        <w:t>：首页“政府采购严重违法失信行为记录名单”</w:t>
      </w:r>
    </w:p>
    <w:p>
      <w:pPr>
        <w:spacing w:after="78" w:afterLines="25" w:line="300" w:lineRule="auto"/>
        <w:ind w:left="-1"/>
        <w:rPr>
          <w:b/>
          <w:color w:val="000000"/>
          <w:sz w:val="28"/>
          <w:szCs w:val="28"/>
        </w:rPr>
      </w:pPr>
    </w:p>
    <w:tbl>
      <w:tblPr>
        <w:tblStyle w:val="28"/>
        <w:tblW w:w="8108" w:type="dxa"/>
        <w:tblInd w:w="42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810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5127" w:hRule="atLeast"/>
        </w:trPr>
        <w:tc>
          <w:tcPr>
            <w:tcW w:w="8108" w:type="dxa"/>
          </w:tcPr>
          <w:p>
            <w:pPr>
              <w:spacing w:after="78" w:afterLines="25" w:line="300" w:lineRule="auto"/>
              <w:ind w:left="-1"/>
              <w:jc w:val="center"/>
              <w:rPr>
                <w:b/>
                <w:color w:val="000000"/>
                <w:sz w:val="28"/>
                <w:szCs w:val="28"/>
              </w:rPr>
            </w:pPr>
          </w:p>
          <w:p>
            <w:pPr>
              <w:spacing w:after="78" w:afterLines="25" w:line="300" w:lineRule="auto"/>
              <w:ind w:left="-1"/>
              <w:jc w:val="center"/>
              <w:rPr>
                <w:b/>
                <w:color w:val="000000"/>
                <w:sz w:val="28"/>
                <w:szCs w:val="28"/>
              </w:rPr>
            </w:pPr>
          </w:p>
          <w:p>
            <w:pPr>
              <w:spacing w:after="78" w:afterLines="25" w:line="300" w:lineRule="auto"/>
              <w:ind w:left="-1"/>
              <w:jc w:val="center"/>
              <w:rPr>
                <w:b/>
                <w:color w:val="000000"/>
                <w:sz w:val="28"/>
                <w:szCs w:val="28"/>
              </w:rPr>
            </w:pPr>
          </w:p>
          <w:p>
            <w:pPr>
              <w:spacing w:after="78" w:afterLines="25" w:line="300" w:lineRule="auto"/>
              <w:ind w:left="-1" w:firstLine="2811" w:firstLineChars="1000"/>
              <w:rPr>
                <w:b/>
                <w:color w:val="000000"/>
                <w:sz w:val="28"/>
                <w:szCs w:val="28"/>
              </w:rPr>
            </w:pPr>
            <w:r>
              <w:rPr>
                <w:rFonts w:hint="eastAsia" w:ascii="Times New Roman" w:hAnsi="Times New Roman" w:cs="Times New Roman"/>
                <w:b/>
                <w:color w:val="000000"/>
                <w:sz w:val="28"/>
                <w:szCs w:val="28"/>
              </w:rPr>
              <w:t>截  图  件  黏  贴  处</w:t>
            </w:r>
          </w:p>
          <w:p>
            <w:pPr>
              <w:spacing w:after="78" w:afterLines="25" w:line="300" w:lineRule="auto"/>
              <w:ind w:left="-1"/>
              <w:rPr>
                <w:b/>
                <w:color w:val="000000"/>
                <w:sz w:val="28"/>
                <w:szCs w:val="28"/>
              </w:rPr>
            </w:pPr>
          </w:p>
        </w:tc>
      </w:tr>
    </w:tbl>
    <w:p>
      <w:pPr>
        <w:spacing w:after="78" w:afterLines="25" w:line="300" w:lineRule="auto"/>
        <w:ind w:left="-1"/>
        <w:rPr>
          <w:b/>
          <w:color w:val="000000"/>
          <w:sz w:val="28"/>
          <w:szCs w:val="28"/>
        </w:rPr>
      </w:pPr>
    </w:p>
    <w:p>
      <w:pPr>
        <w:spacing w:after="78" w:afterLines="25" w:line="300" w:lineRule="auto"/>
        <w:ind w:left="-1"/>
        <w:rPr>
          <w:b/>
          <w:color w:val="000000"/>
          <w:sz w:val="28"/>
          <w:szCs w:val="28"/>
        </w:rPr>
      </w:pPr>
    </w:p>
    <w:p>
      <w:pPr>
        <w:spacing w:after="78" w:afterLines="25" w:line="300" w:lineRule="auto"/>
        <w:ind w:left="-1"/>
        <w:rPr>
          <w:b/>
          <w:color w:val="000000"/>
          <w:sz w:val="28"/>
          <w:szCs w:val="28"/>
        </w:rPr>
      </w:pPr>
    </w:p>
    <w:p>
      <w:pPr>
        <w:spacing w:after="78" w:afterLines="25" w:line="300" w:lineRule="auto"/>
        <w:ind w:left="-1"/>
        <w:rPr>
          <w:b/>
          <w:color w:val="000000"/>
          <w:sz w:val="28"/>
          <w:szCs w:val="28"/>
        </w:rPr>
      </w:pPr>
    </w:p>
    <w:p>
      <w:pPr>
        <w:ind w:left="-1" w:firstLine="840" w:firstLineChars="350"/>
        <w:rPr>
          <w:sz w:val="24"/>
        </w:rPr>
      </w:pPr>
      <w:r>
        <w:rPr>
          <w:rFonts w:hint="eastAsia" w:ascii="宋体" w:hAnsi="宋体" w:cs="Times New Roman"/>
          <w:bCs/>
          <w:sz w:val="24"/>
        </w:rPr>
        <w:t>查询截图时间：</w:t>
      </w:r>
      <w:r>
        <w:rPr>
          <w:rFonts w:hint="eastAsia" w:ascii="宋体" w:hAnsi="宋体" w:cs="Times New Roman"/>
          <w:bCs/>
          <w:sz w:val="24"/>
          <w:u w:val="single"/>
        </w:rPr>
        <w:t xml:space="preserve">     </w:t>
      </w:r>
      <w:r>
        <w:rPr>
          <w:rFonts w:hint="eastAsia" w:ascii="宋体" w:hAnsi="宋体" w:cs="Times New Roman"/>
          <w:bCs/>
          <w:sz w:val="24"/>
        </w:rPr>
        <w:t>年</w:t>
      </w:r>
      <w:r>
        <w:rPr>
          <w:rFonts w:hint="eastAsia" w:ascii="宋体" w:hAnsi="宋体" w:cs="Times New Roman"/>
          <w:bCs/>
          <w:sz w:val="24"/>
          <w:u w:val="single"/>
        </w:rPr>
        <w:t xml:space="preserve">   </w:t>
      </w:r>
      <w:r>
        <w:rPr>
          <w:rFonts w:hint="eastAsia" w:ascii="宋体" w:hAnsi="宋体" w:cs="Times New Roman"/>
          <w:bCs/>
          <w:sz w:val="24"/>
        </w:rPr>
        <w:t>月</w:t>
      </w:r>
      <w:r>
        <w:rPr>
          <w:rFonts w:hint="eastAsia" w:ascii="宋体" w:hAnsi="宋体" w:cs="Times New Roman"/>
          <w:bCs/>
          <w:sz w:val="24"/>
          <w:u w:val="single"/>
        </w:rPr>
        <w:t xml:space="preserve">  </w:t>
      </w:r>
      <w:r>
        <w:rPr>
          <w:rFonts w:hint="eastAsia" w:ascii="宋体" w:hAnsi="宋体" w:cs="Times New Roman"/>
          <w:bCs/>
          <w:sz w:val="24"/>
        </w:rPr>
        <w:t>日</w:t>
      </w:r>
      <w:r>
        <w:rPr>
          <w:rFonts w:hint="eastAsia" w:ascii="宋体" w:hAnsi="宋体" w:cs="Times New Roman"/>
          <w:bCs/>
          <w:sz w:val="24"/>
          <w:u w:val="single"/>
        </w:rPr>
        <w:t xml:space="preserve">   </w:t>
      </w:r>
      <w:r>
        <w:rPr>
          <w:rFonts w:hint="eastAsia" w:ascii="宋体" w:hAnsi="宋体" w:cs="Times New Roman"/>
          <w:bCs/>
          <w:sz w:val="24"/>
        </w:rPr>
        <w:t>时</w:t>
      </w:r>
      <w:r>
        <w:rPr>
          <w:rFonts w:hint="eastAsia" w:ascii="宋体" w:hAnsi="宋体" w:cs="Times New Roman"/>
          <w:bCs/>
          <w:sz w:val="24"/>
          <w:u w:val="single"/>
        </w:rPr>
        <w:t xml:space="preserve">  </w:t>
      </w:r>
      <w:r>
        <w:rPr>
          <w:rFonts w:hint="eastAsia" w:ascii="宋体" w:hAnsi="宋体" w:cs="Times New Roman"/>
          <w:bCs/>
          <w:sz w:val="24"/>
        </w:rPr>
        <w:t>分（北京时间）</w:t>
      </w:r>
    </w:p>
    <w:p>
      <w:pPr>
        <w:ind w:left="-1"/>
      </w:pPr>
    </w:p>
    <w:p>
      <w:pPr>
        <w:adjustRightInd w:val="0"/>
        <w:snapToGrid w:val="0"/>
        <w:spacing w:line="360" w:lineRule="auto"/>
        <w:ind w:left="-1"/>
        <w:jc w:val="center"/>
        <w:rPr>
          <w:rFonts w:ascii="Arial" w:hAnsi="Arial" w:cs="Arial"/>
          <w:b/>
          <w:bCs/>
          <w:szCs w:val="21"/>
        </w:rPr>
      </w:pPr>
      <w:r>
        <w:rPr>
          <w:rFonts w:hint="eastAsia" w:ascii="Arial" w:hAnsi="Arial" w:cs="Arial"/>
          <w:b/>
          <w:bCs/>
          <w:szCs w:val="21"/>
        </w:rPr>
        <w:t>注：供应商必须按要求提供自己单位的信用信息查询记录网络截图件。</w:t>
      </w:r>
    </w:p>
    <w:p>
      <w:pPr>
        <w:ind w:left="-1"/>
      </w:pPr>
      <w:r>
        <w:rPr>
          <w:rFonts w:hint="eastAsia" w:ascii="Arial" w:hAnsi="Arial" w:cs="Arial"/>
          <w:b/>
          <w:bCs/>
          <w:szCs w:val="21"/>
        </w:rPr>
        <w:br w:type="page"/>
      </w:r>
    </w:p>
    <w:p>
      <w:pPr>
        <w:pStyle w:val="3"/>
        <w:keepNext w:val="0"/>
        <w:keepLines w:val="0"/>
        <w:pageBreakBefore w:val="0"/>
        <w:widowControl w:val="0"/>
        <w:kinsoku/>
        <w:overflowPunct/>
        <w:topLinePunct w:val="0"/>
        <w:bidi w:val="0"/>
        <w:spacing w:line="579" w:lineRule="auto"/>
        <w:jc w:val="center"/>
        <w:rPr>
          <w:rFonts w:ascii="黑体" w:hAnsi="黑体" w:eastAsia="黑体"/>
          <w:bCs w:val="0"/>
          <w:sz w:val="32"/>
          <w:szCs w:val="32"/>
        </w:rPr>
      </w:pPr>
      <w:bookmarkStart w:id="35" w:name="_Toc13271"/>
      <w:bookmarkStart w:id="36" w:name="_Toc22882"/>
      <w:r>
        <w:rPr>
          <w:rFonts w:hint="eastAsia" w:ascii="黑体" w:hAnsi="黑体" w:eastAsia="黑体"/>
          <w:bCs w:val="0"/>
          <w:sz w:val="32"/>
          <w:szCs w:val="32"/>
          <w:lang w:val="en-US" w:eastAsia="zh-CN"/>
        </w:rPr>
        <w:t>7</w:t>
      </w:r>
      <w:r>
        <w:rPr>
          <w:rFonts w:hint="eastAsia" w:ascii="黑体" w:hAnsi="黑体" w:eastAsia="黑体"/>
          <w:bCs w:val="0"/>
          <w:sz w:val="32"/>
          <w:szCs w:val="32"/>
        </w:rPr>
        <w:t>、投标单位三证或三证合</w:t>
      </w:r>
      <w:bookmarkEnd w:id="35"/>
      <w:r>
        <w:rPr>
          <w:rFonts w:hint="eastAsia" w:ascii="黑体" w:hAnsi="黑体" w:eastAsia="黑体"/>
          <w:bCs w:val="0"/>
          <w:sz w:val="32"/>
          <w:szCs w:val="32"/>
        </w:rPr>
        <w:t>一</w:t>
      </w:r>
      <w:bookmarkEnd w:id="36"/>
    </w:p>
    <w:p>
      <w:pPr>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sectPr>
          <w:pgSz w:w="11906" w:h="16838"/>
          <w:pgMar w:top="1440" w:right="1797" w:bottom="1440" w:left="1797" w:header="851" w:footer="992" w:gutter="0"/>
          <w:paperSrc w:first="15"/>
          <w:pgBorders>
            <w:top w:val="none" w:sz="0" w:space="0"/>
            <w:left w:val="none" w:sz="0" w:space="0"/>
            <w:bottom w:val="none" w:sz="0" w:space="0"/>
            <w:right w:val="none" w:sz="0" w:space="0"/>
          </w:pgBorders>
          <w:pgNumType w:fmt="numberInDash" w:chapStyle="1"/>
          <w:cols w:space="720" w:num="1"/>
          <w:docGrid w:type="lines" w:linePitch="312" w:charSpace="0"/>
        </w:sectPr>
      </w:pPr>
    </w:p>
    <w:p>
      <w:pPr>
        <w:pStyle w:val="3"/>
        <w:keepNext w:val="0"/>
        <w:keepLines w:val="0"/>
        <w:pageBreakBefore w:val="0"/>
        <w:widowControl w:val="0"/>
        <w:kinsoku/>
        <w:overflowPunct/>
        <w:topLinePunct w:val="0"/>
        <w:bidi w:val="0"/>
        <w:spacing w:line="579" w:lineRule="auto"/>
        <w:jc w:val="center"/>
        <w:rPr>
          <w:rFonts w:hint="eastAsia" w:ascii="黑体" w:hAnsi="黑体" w:eastAsia="黑体"/>
          <w:bCs w:val="0"/>
          <w:sz w:val="32"/>
          <w:szCs w:val="32"/>
          <w:lang w:eastAsia="zh-CN"/>
        </w:rPr>
      </w:pPr>
      <w:bookmarkStart w:id="37" w:name="_Toc2702"/>
      <w:r>
        <w:rPr>
          <w:rFonts w:hint="eastAsia" w:ascii="黑体" w:hAnsi="黑体" w:eastAsia="黑体"/>
          <w:bCs w:val="0"/>
          <w:sz w:val="32"/>
          <w:szCs w:val="32"/>
          <w:lang w:val="en-US" w:eastAsia="zh-CN"/>
        </w:rPr>
        <w:t>8</w:t>
      </w:r>
      <w:r>
        <w:rPr>
          <w:rFonts w:hint="eastAsia" w:ascii="黑体" w:hAnsi="黑体" w:eastAsia="黑体"/>
          <w:bCs w:val="0"/>
          <w:sz w:val="32"/>
          <w:szCs w:val="32"/>
        </w:rPr>
        <w:t>、</w:t>
      </w:r>
      <w:r>
        <w:rPr>
          <w:rFonts w:hint="eastAsia" w:ascii="黑体" w:hAnsi="黑体" w:eastAsia="黑体"/>
          <w:bCs w:val="0"/>
          <w:sz w:val="32"/>
          <w:szCs w:val="32"/>
          <w:lang w:eastAsia="zh-CN"/>
        </w:rPr>
        <w:t>资质情况</w:t>
      </w:r>
      <w:bookmarkEnd w:id="37"/>
    </w:p>
    <w:p>
      <w:pPr>
        <w:pStyle w:val="38"/>
        <w:keepNext w:val="0"/>
        <w:keepLines w:val="0"/>
        <w:pageBreakBefore w:val="0"/>
        <w:widowControl w:val="0"/>
        <w:kinsoku/>
        <w:wordWrap/>
        <w:overflowPunct/>
        <w:topLinePunct w:val="0"/>
        <w:bidi w:val="0"/>
        <w:spacing w:line="240" w:lineRule="auto"/>
        <w:ind w:firstLine="0" w:firstLineChars="0"/>
        <w:jc w:val="center"/>
        <w:textAlignment w:val="auto"/>
        <w:rPr>
          <w:rFonts w:hint="eastAsia" w:eastAsia="宋体"/>
          <w:lang w:eastAsia="zh-CN"/>
        </w:rPr>
      </w:pPr>
      <w:r>
        <w:rPr>
          <w:rFonts w:hint="eastAsia"/>
          <w:lang w:eastAsia="zh-CN"/>
        </w:rPr>
        <w:t>（</w:t>
      </w:r>
      <w:r>
        <w:rPr>
          <w:rFonts w:hint="eastAsia" w:ascii="宋体" w:hAnsi="宋体" w:cs="宋体"/>
          <w:sz w:val="21"/>
          <w:szCs w:val="21"/>
          <w:lang w:val="en-US" w:eastAsia="zh-CN"/>
        </w:rPr>
        <w:t>工信部颁发的有限的</w:t>
      </w:r>
      <w:r>
        <w:rPr>
          <w:rFonts w:hint="eastAsia"/>
        </w:rPr>
        <w:t>《中华人民共和国电信网码号资源使用证书》</w:t>
      </w:r>
      <w:r>
        <w:rPr>
          <w:rFonts w:hint="eastAsia"/>
          <w:lang w:eastAsia="zh-CN"/>
        </w:rPr>
        <w:t>）</w:t>
      </w:r>
    </w:p>
    <w:p>
      <w:pPr>
        <w:keepNext w:val="0"/>
        <w:keepLines w:val="0"/>
        <w:pageBreakBefore w:val="0"/>
        <w:widowControl w:val="0"/>
        <w:numPr>
          <w:ilvl w:val="0"/>
          <w:numId w:val="5"/>
        </w:numPr>
        <w:kinsoku/>
        <w:overflowPunct/>
        <w:topLinePunct w:val="0"/>
        <w:bidi w:val="0"/>
        <w:spacing w:before="156" w:after="156"/>
        <w:rPr>
          <w:rFonts w:hint="eastAsia"/>
        </w:rPr>
      </w:pPr>
      <w:r>
        <w:rPr>
          <w:rFonts w:hint="eastAsia"/>
        </w:rPr>
        <w:t>如为</w:t>
      </w:r>
      <w:r>
        <w:rPr>
          <w:rFonts w:hint="eastAsia"/>
          <w:b/>
          <w:bCs/>
        </w:rPr>
        <w:t>自有通道</w:t>
      </w:r>
      <w:r>
        <w:rPr>
          <w:rFonts w:hint="eastAsia"/>
        </w:rPr>
        <w:t>，需提供有效的《中华人民共和国电信网码号资源使用证书》（证书中“码号资源”号码需与供应商拟投入本项目使用的通道码号一致）复印件并加盖公章；</w:t>
      </w:r>
    </w:p>
    <w:p>
      <w:pPr>
        <w:keepNext w:val="0"/>
        <w:keepLines w:val="0"/>
        <w:pageBreakBefore w:val="0"/>
        <w:widowControl w:val="0"/>
        <w:numPr>
          <w:ilvl w:val="0"/>
          <w:numId w:val="5"/>
        </w:numPr>
        <w:kinsoku/>
        <w:overflowPunct/>
        <w:topLinePunct w:val="0"/>
        <w:bidi w:val="0"/>
        <w:spacing w:before="156" w:after="156"/>
      </w:pPr>
      <w:r>
        <w:rPr>
          <w:rFonts w:hint="eastAsia"/>
        </w:rPr>
        <w:t>如为</w:t>
      </w:r>
      <w:r>
        <w:rPr>
          <w:rFonts w:hint="eastAsia"/>
          <w:b/>
          <w:bCs/>
        </w:rPr>
        <w:t>租赁通道</w:t>
      </w:r>
      <w:r>
        <w:rPr>
          <w:rFonts w:hint="eastAsia"/>
        </w:rPr>
        <w:t>，需提供租赁合同及被租赁通道的《中华人民共和国电信网码号资源使用证书》复印件并加盖公章。</w:t>
      </w:r>
    </w:p>
    <w:p>
      <w:pPr>
        <w:pStyle w:val="2"/>
        <w:sectPr>
          <w:pgSz w:w="11906" w:h="16838"/>
          <w:pgMar w:top="1440" w:right="1797" w:bottom="1440" w:left="1797" w:header="851" w:footer="992" w:gutter="0"/>
          <w:paperSrc w:first="15"/>
          <w:pgBorders>
            <w:top w:val="none" w:sz="0" w:space="0"/>
            <w:left w:val="none" w:sz="0" w:space="0"/>
            <w:bottom w:val="none" w:sz="0" w:space="0"/>
            <w:right w:val="none" w:sz="0" w:space="0"/>
          </w:pgBorders>
          <w:pgNumType w:fmt="numberInDash" w:chapStyle="1"/>
          <w:cols w:space="720" w:num="1"/>
          <w:docGrid w:type="lines" w:linePitch="312" w:charSpace="0"/>
        </w:sectPr>
      </w:pPr>
    </w:p>
    <w:p>
      <w:pPr>
        <w:pStyle w:val="3"/>
        <w:keepNext w:val="0"/>
        <w:keepLines w:val="0"/>
        <w:pageBreakBefore w:val="0"/>
        <w:widowControl w:val="0"/>
        <w:numPr>
          <w:ilvl w:val="0"/>
          <w:numId w:val="0"/>
        </w:numPr>
        <w:kinsoku/>
        <w:overflowPunct/>
        <w:topLinePunct w:val="0"/>
        <w:bidi w:val="0"/>
        <w:spacing w:line="579" w:lineRule="auto"/>
        <w:jc w:val="center"/>
        <w:rPr>
          <w:rFonts w:hint="eastAsia" w:ascii="黑体" w:hAnsi="黑体" w:eastAsia="黑体"/>
          <w:bCs w:val="0"/>
          <w:sz w:val="32"/>
          <w:szCs w:val="32"/>
          <w:lang w:eastAsia="zh-CN"/>
        </w:rPr>
      </w:pPr>
      <w:bookmarkStart w:id="38" w:name="_Toc21506"/>
      <w:r>
        <w:rPr>
          <w:rFonts w:hint="eastAsia" w:ascii="黑体" w:hAnsi="黑体" w:eastAsia="黑体"/>
          <w:bCs w:val="0"/>
          <w:sz w:val="32"/>
          <w:szCs w:val="32"/>
          <w:lang w:val="en-US" w:eastAsia="zh-CN"/>
        </w:rPr>
        <w:t>9、系统</w:t>
      </w:r>
      <w:r>
        <w:rPr>
          <w:rFonts w:hint="eastAsia" w:ascii="黑体" w:hAnsi="黑体" w:eastAsia="黑体"/>
          <w:bCs w:val="0"/>
          <w:sz w:val="32"/>
          <w:szCs w:val="32"/>
          <w:lang w:eastAsia="zh-CN"/>
        </w:rPr>
        <w:t>功能情况介绍</w:t>
      </w:r>
      <w:bookmarkEnd w:id="38"/>
    </w:p>
    <w:p>
      <w:pPr>
        <w:pStyle w:val="30"/>
        <w:keepNext w:val="0"/>
        <w:keepLines w:val="0"/>
        <w:pageBreakBefore w:val="0"/>
        <w:widowControl w:val="0"/>
        <w:kinsoku/>
        <w:overflowPunct/>
        <w:topLinePunct w:val="0"/>
        <w:bidi w:val="0"/>
        <w:jc w:val="center"/>
        <w:rPr>
          <w:sz w:val="28"/>
          <w:szCs w:val="28"/>
        </w:rPr>
      </w:pPr>
      <w:r>
        <w:rPr>
          <w:rFonts w:hint="eastAsia"/>
          <w:sz w:val="28"/>
          <w:szCs w:val="28"/>
          <w:lang w:eastAsia="zh-CN"/>
        </w:rPr>
        <w:t>（</w:t>
      </w:r>
      <w:r>
        <w:rPr>
          <w:rFonts w:hint="eastAsia"/>
          <w:lang w:eastAsia="zh-CN"/>
        </w:rPr>
        <w:t>对系统需求分析、架构、业务流程、系统功能等设计满足用户需求</w:t>
      </w:r>
      <w:r>
        <w:rPr>
          <w:rFonts w:hint="eastAsia"/>
          <w:lang w:val="en-US" w:eastAsia="zh-CN"/>
        </w:rPr>
        <w:t>的</w:t>
      </w:r>
      <w:r>
        <w:rPr>
          <w:rFonts w:hint="eastAsia"/>
          <w:lang w:eastAsia="zh-CN"/>
        </w:rPr>
        <w:t>整体</w:t>
      </w:r>
      <w:r>
        <w:rPr>
          <w:rFonts w:hint="eastAsia"/>
          <w:lang w:val="en-US" w:eastAsia="zh-CN"/>
        </w:rPr>
        <w:t>方案）</w:t>
      </w:r>
    </w:p>
    <w:p>
      <w:pPr>
        <w:pStyle w:val="30"/>
        <w:keepNext w:val="0"/>
        <w:keepLines w:val="0"/>
        <w:pageBreakBefore w:val="0"/>
        <w:widowControl w:val="0"/>
        <w:kinsoku/>
        <w:overflowPunct/>
        <w:topLinePunct w:val="0"/>
        <w:bidi w:val="0"/>
        <w:rPr>
          <w:sz w:val="28"/>
          <w:szCs w:val="28"/>
        </w:rPr>
      </w:pPr>
    </w:p>
    <w:p>
      <w:pPr>
        <w:pStyle w:val="30"/>
        <w:keepNext w:val="0"/>
        <w:keepLines w:val="0"/>
        <w:pageBreakBefore w:val="0"/>
        <w:widowControl w:val="0"/>
        <w:kinsoku/>
        <w:overflowPunct/>
        <w:topLinePunct w:val="0"/>
        <w:bidi w:val="0"/>
        <w:rPr>
          <w:sz w:val="28"/>
          <w:szCs w:val="28"/>
        </w:rPr>
      </w:pPr>
    </w:p>
    <w:p>
      <w:pPr>
        <w:pStyle w:val="30"/>
        <w:keepNext w:val="0"/>
        <w:keepLines w:val="0"/>
        <w:pageBreakBefore w:val="0"/>
        <w:widowControl w:val="0"/>
        <w:kinsoku/>
        <w:overflowPunct/>
        <w:topLinePunct w:val="0"/>
        <w:bidi w:val="0"/>
        <w:rPr>
          <w:sz w:val="28"/>
          <w:szCs w:val="28"/>
        </w:rPr>
      </w:pPr>
    </w:p>
    <w:p>
      <w:pPr>
        <w:pStyle w:val="30"/>
        <w:keepNext w:val="0"/>
        <w:keepLines w:val="0"/>
        <w:pageBreakBefore w:val="0"/>
        <w:widowControl w:val="0"/>
        <w:kinsoku/>
        <w:overflowPunct/>
        <w:topLinePunct w:val="0"/>
        <w:bidi w:val="0"/>
        <w:rPr>
          <w:sz w:val="28"/>
          <w:szCs w:val="28"/>
        </w:rPr>
      </w:pPr>
    </w:p>
    <w:p>
      <w:pPr>
        <w:pStyle w:val="30"/>
        <w:keepNext w:val="0"/>
        <w:keepLines w:val="0"/>
        <w:pageBreakBefore w:val="0"/>
        <w:widowControl w:val="0"/>
        <w:kinsoku/>
        <w:overflowPunct/>
        <w:topLinePunct w:val="0"/>
        <w:bidi w:val="0"/>
        <w:rPr>
          <w:sz w:val="28"/>
          <w:szCs w:val="28"/>
        </w:rPr>
      </w:pPr>
    </w:p>
    <w:p>
      <w:pPr>
        <w:pStyle w:val="30"/>
        <w:keepNext w:val="0"/>
        <w:keepLines w:val="0"/>
        <w:pageBreakBefore w:val="0"/>
        <w:widowControl w:val="0"/>
        <w:kinsoku/>
        <w:overflowPunct/>
        <w:topLinePunct w:val="0"/>
        <w:bidi w:val="0"/>
        <w:rPr>
          <w:sz w:val="28"/>
          <w:szCs w:val="28"/>
        </w:rPr>
      </w:pPr>
    </w:p>
    <w:p>
      <w:pPr>
        <w:pStyle w:val="30"/>
        <w:keepNext w:val="0"/>
        <w:keepLines w:val="0"/>
        <w:pageBreakBefore w:val="0"/>
        <w:widowControl w:val="0"/>
        <w:kinsoku/>
        <w:overflowPunct/>
        <w:topLinePunct w:val="0"/>
        <w:bidi w:val="0"/>
        <w:rPr>
          <w:sz w:val="28"/>
          <w:szCs w:val="28"/>
        </w:rPr>
      </w:pPr>
    </w:p>
    <w:p>
      <w:pPr>
        <w:pStyle w:val="30"/>
        <w:keepNext w:val="0"/>
        <w:keepLines w:val="0"/>
        <w:pageBreakBefore w:val="0"/>
        <w:widowControl w:val="0"/>
        <w:kinsoku/>
        <w:overflowPunct/>
        <w:topLinePunct w:val="0"/>
        <w:bidi w:val="0"/>
        <w:rPr>
          <w:sz w:val="28"/>
          <w:szCs w:val="28"/>
        </w:rPr>
      </w:pPr>
    </w:p>
    <w:p>
      <w:pPr>
        <w:pStyle w:val="30"/>
        <w:keepNext w:val="0"/>
        <w:keepLines w:val="0"/>
        <w:pageBreakBefore w:val="0"/>
        <w:widowControl w:val="0"/>
        <w:kinsoku/>
        <w:overflowPunct/>
        <w:topLinePunct w:val="0"/>
        <w:bidi w:val="0"/>
        <w:rPr>
          <w:sz w:val="28"/>
          <w:szCs w:val="28"/>
        </w:rPr>
      </w:pPr>
    </w:p>
    <w:p>
      <w:pPr>
        <w:pStyle w:val="3"/>
        <w:keepNext w:val="0"/>
        <w:keepLines w:val="0"/>
        <w:pageBreakBefore w:val="0"/>
        <w:widowControl w:val="0"/>
        <w:kinsoku/>
        <w:overflowPunct/>
        <w:topLinePunct w:val="0"/>
        <w:bidi w:val="0"/>
        <w:spacing w:line="579" w:lineRule="auto"/>
        <w:ind w:left="-1"/>
        <w:jc w:val="center"/>
        <w:rPr>
          <w:sz w:val="28"/>
          <w:szCs w:val="28"/>
        </w:rPr>
        <w:sectPr>
          <w:pgSz w:w="11906" w:h="16838"/>
          <w:pgMar w:top="1440" w:right="1797" w:bottom="1440" w:left="1797" w:header="851" w:footer="992" w:gutter="0"/>
          <w:paperSrc w:first="15"/>
          <w:pgBorders>
            <w:top w:val="none" w:sz="0" w:space="0"/>
            <w:left w:val="none" w:sz="0" w:space="0"/>
            <w:bottom w:val="none" w:sz="0" w:space="0"/>
            <w:right w:val="none" w:sz="0" w:space="0"/>
          </w:pgBorders>
          <w:pgNumType w:fmt="numberInDash" w:chapStyle="1"/>
          <w:cols w:space="720" w:num="1"/>
          <w:docGrid w:type="lines" w:linePitch="312" w:charSpace="0"/>
        </w:sectPr>
      </w:pPr>
    </w:p>
    <w:p>
      <w:pPr>
        <w:pStyle w:val="3"/>
        <w:keepNext w:val="0"/>
        <w:keepLines w:val="0"/>
        <w:pageBreakBefore w:val="0"/>
        <w:widowControl w:val="0"/>
        <w:kinsoku/>
        <w:overflowPunct/>
        <w:topLinePunct w:val="0"/>
        <w:bidi w:val="0"/>
        <w:spacing w:line="579" w:lineRule="auto"/>
        <w:jc w:val="center"/>
        <w:rPr>
          <w:rFonts w:ascii="黑体" w:hAnsi="黑体" w:eastAsia="黑体"/>
          <w:bCs w:val="0"/>
          <w:sz w:val="32"/>
          <w:szCs w:val="32"/>
        </w:rPr>
      </w:pPr>
      <w:bookmarkStart w:id="39" w:name="_Toc26605"/>
      <w:r>
        <w:rPr>
          <w:rFonts w:hint="eastAsia" w:ascii="黑体" w:hAnsi="黑体" w:eastAsia="黑体"/>
          <w:bCs w:val="0"/>
          <w:sz w:val="32"/>
          <w:szCs w:val="32"/>
          <w:lang w:val="en-US" w:eastAsia="zh-CN"/>
        </w:rPr>
        <w:t>10</w:t>
      </w:r>
      <w:r>
        <w:rPr>
          <w:rFonts w:hint="eastAsia" w:ascii="黑体" w:hAnsi="黑体" w:eastAsia="黑体"/>
          <w:bCs w:val="0"/>
          <w:sz w:val="32"/>
          <w:szCs w:val="32"/>
        </w:rPr>
        <w:t>、</w:t>
      </w:r>
      <w:r>
        <w:rPr>
          <w:rFonts w:hint="eastAsia" w:ascii="黑体" w:hAnsi="黑体" w:eastAsia="黑体"/>
          <w:bCs w:val="0"/>
          <w:sz w:val="32"/>
          <w:szCs w:val="32"/>
          <w:lang w:eastAsia="zh-CN"/>
        </w:rPr>
        <w:t>项目</w:t>
      </w:r>
      <w:r>
        <w:rPr>
          <w:rFonts w:hint="eastAsia" w:ascii="黑体" w:hAnsi="黑体" w:eastAsia="黑体"/>
          <w:bCs w:val="0"/>
          <w:sz w:val="32"/>
          <w:szCs w:val="32"/>
          <w:lang w:val="en-US" w:eastAsia="zh-CN"/>
        </w:rPr>
        <w:t>实施及</w:t>
      </w:r>
      <w:r>
        <w:rPr>
          <w:rFonts w:hint="eastAsia" w:ascii="黑体" w:hAnsi="黑体" w:eastAsia="黑体"/>
          <w:bCs w:val="0"/>
          <w:sz w:val="32"/>
          <w:szCs w:val="32"/>
          <w:lang w:eastAsia="zh-CN"/>
        </w:rPr>
        <w:t>保障</w:t>
      </w:r>
      <w:r>
        <w:rPr>
          <w:rFonts w:hint="eastAsia" w:ascii="黑体" w:hAnsi="黑体" w:eastAsia="黑体"/>
          <w:bCs w:val="0"/>
          <w:sz w:val="32"/>
          <w:szCs w:val="32"/>
        </w:rPr>
        <w:t>方案</w:t>
      </w:r>
      <w:bookmarkEnd w:id="39"/>
    </w:p>
    <w:p>
      <w:pPr>
        <w:pStyle w:val="10"/>
        <w:keepNext w:val="0"/>
        <w:keepLines w:val="0"/>
        <w:pageBreakBefore w:val="0"/>
        <w:widowControl w:val="0"/>
        <w:kinsoku/>
        <w:overflowPunct/>
        <w:topLinePunct w:val="0"/>
        <w:bidi w:val="0"/>
        <w:spacing w:after="0" w:line="400" w:lineRule="exact"/>
        <w:jc w:val="center"/>
        <w:rPr>
          <w:rFonts w:hint="eastAsia" w:eastAsia="宋体"/>
          <w:lang w:eastAsia="zh-CN"/>
        </w:rPr>
      </w:pPr>
      <w:r>
        <w:rPr>
          <w:rFonts w:hint="eastAsia"/>
          <w:lang w:eastAsia="zh-CN"/>
        </w:rPr>
        <w:t>（包括</w:t>
      </w:r>
      <w:r>
        <w:rPr>
          <w:rFonts w:hint="eastAsia" w:ascii="宋体" w:hAnsi="宋体" w:eastAsia="宋体" w:cs="宋体"/>
          <w:sz w:val="21"/>
          <w:szCs w:val="21"/>
          <w:highlight w:val="none"/>
        </w:rPr>
        <w:t>项目组织管理、项目实施进度安排、项目质量管理</w:t>
      </w:r>
      <w:r>
        <w:rPr>
          <w:rFonts w:hint="eastAsia" w:ascii="宋体" w:hAnsi="宋体" w:eastAsia="宋体" w:cs="宋体"/>
          <w:sz w:val="21"/>
          <w:szCs w:val="21"/>
          <w:highlight w:val="none"/>
          <w:lang w:eastAsia="zh-CN"/>
        </w:rPr>
        <w:t>、售后服务承诺</w:t>
      </w:r>
      <w:r>
        <w:rPr>
          <w:rFonts w:hint="eastAsia" w:ascii="宋体" w:hAnsi="宋体" w:eastAsia="宋体" w:cs="宋体"/>
          <w:sz w:val="21"/>
          <w:szCs w:val="21"/>
          <w:highlight w:val="none"/>
        </w:rPr>
        <w:t>等</w:t>
      </w:r>
      <w:r>
        <w:rPr>
          <w:rFonts w:hint="eastAsia"/>
          <w:lang w:eastAsia="zh-CN"/>
        </w:rPr>
        <w:t>）</w:t>
      </w: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sectPr>
          <w:pgSz w:w="11906" w:h="16838"/>
          <w:pgMar w:top="1440" w:right="1797" w:bottom="1440" w:left="1797" w:header="851" w:footer="992" w:gutter="0"/>
          <w:paperSrc w:first="15"/>
          <w:pgBorders>
            <w:top w:val="none" w:sz="0" w:space="0"/>
            <w:left w:val="none" w:sz="0" w:space="0"/>
            <w:bottom w:val="none" w:sz="0" w:space="0"/>
            <w:right w:val="none" w:sz="0" w:space="0"/>
          </w:pgBorders>
          <w:pgNumType w:fmt="numberInDash" w:chapStyle="1"/>
          <w:cols w:space="720" w:num="1"/>
          <w:docGrid w:type="lines" w:linePitch="312" w:charSpace="0"/>
        </w:sectPr>
      </w:pPr>
    </w:p>
    <w:p>
      <w:pPr>
        <w:pStyle w:val="3"/>
        <w:keepNext w:val="0"/>
        <w:keepLines w:val="0"/>
        <w:pageBreakBefore w:val="0"/>
        <w:widowControl w:val="0"/>
        <w:kinsoku/>
        <w:overflowPunct/>
        <w:topLinePunct w:val="0"/>
        <w:bidi w:val="0"/>
        <w:spacing w:line="579" w:lineRule="auto"/>
        <w:jc w:val="center"/>
        <w:rPr>
          <w:rFonts w:hint="eastAsia" w:ascii="黑体" w:hAnsi="黑体" w:eastAsia="黑体"/>
          <w:bCs w:val="0"/>
          <w:sz w:val="32"/>
          <w:szCs w:val="32"/>
          <w:lang w:val="en-US" w:eastAsia="zh-CN"/>
        </w:rPr>
      </w:pPr>
      <w:bookmarkStart w:id="40" w:name="_Toc1477"/>
      <w:r>
        <w:rPr>
          <w:rFonts w:hint="eastAsia" w:ascii="黑体" w:hAnsi="黑体" w:eastAsia="黑体"/>
          <w:bCs w:val="0"/>
          <w:sz w:val="32"/>
          <w:szCs w:val="32"/>
          <w:lang w:val="en-US" w:eastAsia="zh-CN"/>
        </w:rPr>
        <w:t>11</w:t>
      </w:r>
      <w:r>
        <w:rPr>
          <w:rFonts w:hint="eastAsia" w:ascii="黑体" w:hAnsi="黑体" w:eastAsia="黑体"/>
          <w:bCs w:val="0"/>
          <w:sz w:val="32"/>
          <w:szCs w:val="32"/>
        </w:rPr>
        <w:t>、</w:t>
      </w:r>
      <w:r>
        <w:rPr>
          <w:rFonts w:hint="eastAsia" w:ascii="黑体" w:hAnsi="黑体" w:eastAsia="黑体"/>
          <w:bCs w:val="0"/>
          <w:sz w:val="32"/>
          <w:szCs w:val="32"/>
          <w:lang w:val="en-US" w:eastAsia="zh-CN"/>
        </w:rPr>
        <w:t>售后服务计划</w:t>
      </w:r>
      <w:bookmarkEnd w:id="40"/>
    </w:p>
    <w:p>
      <w:pPr>
        <w:adjustRightInd w:val="0"/>
        <w:snapToGrid w:val="0"/>
        <w:spacing w:line="480" w:lineRule="auto"/>
        <w:rPr>
          <w:rFonts w:ascii="宋体" w:hAnsi="宋体"/>
        </w:rPr>
      </w:pPr>
      <w:bookmarkStart w:id="41" w:name="_Toc28168"/>
      <w:bookmarkStart w:id="42" w:name="_Toc30185"/>
      <w:r>
        <w:rPr>
          <w:rFonts w:hint="eastAsia" w:ascii="宋体" w:hAnsi="宋体"/>
        </w:rPr>
        <w:t>1、</w:t>
      </w:r>
      <w:r>
        <w:rPr>
          <w:rFonts w:hint="eastAsia"/>
          <w:lang w:val="en-US" w:eastAsia="zh-CN"/>
        </w:rPr>
        <w:t>售后</w:t>
      </w:r>
      <w:r>
        <w:rPr>
          <w:rFonts w:hint="eastAsia"/>
        </w:rPr>
        <w:t>服务承诺</w:t>
      </w:r>
    </w:p>
    <w:p>
      <w:pPr>
        <w:adjustRightInd w:val="0"/>
        <w:snapToGrid w:val="0"/>
        <w:spacing w:line="480" w:lineRule="auto"/>
      </w:pPr>
      <w:r>
        <w:rPr>
          <w:rFonts w:hint="eastAsia" w:ascii="宋体" w:hAnsi="宋体"/>
        </w:rPr>
        <w:t>2、</w:t>
      </w:r>
      <w:r>
        <w:rPr>
          <w:rFonts w:hint="eastAsia"/>
        </w:rPr>
        <w:t>售后服务机构、售后服务人员情况</w:t>
      </w:r>
    </w:p>
    <w:p>
      <w:pPr>
        <w:adjustRightInd w:val="0"/>
        <w:snapToGrid w:val="0"/>
        <w:spacing w:line="480" w:lineRule="auto"/>
        <w:rPr>
          <w:rFonts w:ascii="宋体" w:hAnsi="宋体"/>
        </w:rPr>
      </w:pPr>
      <w:r>
        <w:rPr>
          <w:rFonts w:hint="eastAsia" w:ascii="宋体" w:hAnsi="宋体"/>
        </w:rPr>
        <w:t>3、</w:t>
      </w:r>
      <w:r>
        <w:rPr>
          <w:rFonts w:hint="eastAsia"/>
        </w:rPr>
        <w:t>售后服务应急措施</w:t>
      </w:r>
    </w:p>
    <w:p>
      <w:pPr>
        <w:adjustRightInd w:val="0"/>
        <w:snapToGrid w:val="0"/>
        <w:spacing w:line="480" w:lineRule="auto"/>
        <w:rPr>
          <w:rFonts w:ascii="宋体" w:hAnsi="宋体"/>
        </w:rPr>
      </w:pPr>
      <w:r>
        <w:rPr>
          <w:rFonts w:hint="eastAsia" w:ascii="宋体" w:hAnsi="宋体"/>
        </w:rPr>
        <w:t>4、</w:t>
      </w:r>
      <w:r>
        <w:rPr>
          <w:rFonts w:hint="eastAsia"/>
        </w:rPr>
        <w:t>故障或技术支持</w:t>
      </w:r>
      <w:r>
        <w:rPr>
          <w:rFonts w:hint="eastAsia"/>
          <w:lang w:val="en-US" w:eastAsia="zh-CN"/>
        </w:rPr>
        <w:t>方案及</w:t>
      </w:r>
      <w:r>
        <w:rPr>
          <w:rFonts w:hint="eastAsia"/>
        </w:rPr>
        <w:t>响应时间</w:t>
      </w:r>
    </w:p>
    <w:p>
      <w:pPr>
        <w:adjustRightInd w:val="0"/>
        <w:snapToGrid w:val="0"/>
        <w:spacing w:line="480" w:lineRule="auto"/>
        <w:rPr>
          <w:rFonts w:ascii="宋体" w:hAnsi="宋体"/>
          <w:bCs/>
        </w:rPr>
      </w:pPr>
      <w:r>
        <w:rPr>
          <w:rFonts w:hint="eastAsia" w:ascii="宋体" w:hAnsi="宋体"/>
        </w:rPr>
        <w:t>5、技术培训计划</w:t>
      </w:r>
    </w:p>
    <w:p>
      <w:pPr>
        <w:adjustRightInd w:val="0"/>
        <w:snapToGrid w:val="0"/>
        <w:spacing w:line="480" w:lineRule="auto"/>
        <w:rPr>
          <w:lang w:val="zh-CN"/>
        </w:rPr>
      </w:pPr>
      <w:r>
        <w:rPr>
          <w:rFonts w:hint="eastAsia" w:ascii="宋体" w:hAnsi="宋体"/>
          <w:bCs/>
          <w:lang w:val="en-US" w:eastAsia="zh-CN"/>
        </w:rPr>
        <w:t>6</w:t>
      </w:r>
      <w:r>
        <w:rPr>
          <w:rFonts w:hint="eastAsia" w:ascii="宋体" w:hAnsi="宋体"/>
          <w:bCs/>
        </w:rPr>
        <w:t>、其它</w:t>
      </w:r>
    </w:p>
    <w:p>
      <w:pPr>
        <w:pStyle w:val="3"/>
        <w:keepNext w:val="0"/>
        <w:keepLines w:val="0"/>
        <w:pageBreakBefore w:val="0"/>
        <w:widowControl w:val="0"/>
        <w:kinsoku/>
        <w:overflowPunct/>
        <w:topLinePunct w:val="0"/>
        <w:bidi w:val="0"/>
        <w:spacing w:line="579" w:lineRule="auto"/>
        <w:ind w:right="-334" w:rightChars="-159"/>
        <w:jc w:val="center"/>
        <w:rPr>
          <w:rFonts w:hint="eastAsia" w:ascii="黑体" w:hAnsi="黑体" w:eastAsia="黑体"/>
          <w:bCs w:val="0"/>
          <w:sz w:val="32"/>
          <w:szCs w:val="32"/>
        </w:rPr>
      </w:pPr>
    </w:p>
    <w:p>
      <w:pPr>
        <w:pStyle w:val="3"/>
        <w:keepNext w:val="0"/>
        <w:keepLines w:val="0"/>
        <w:pageBreakBefore w:val="0"/>
        <w:widowControl w:val="0"/>
        <w:kinsoku/>
        <w:overflowPunct/>
        <w:topLinePunct w:val="0"/>
        <w:bidi w:val="0"/>
        <w:spacing w:line="579" w:lineRule="auto"/>
        <w:ind w:right="-334" w:rightChars="-159"/>
        <w:jc w:val="center"/>
        <w:rPr>
          <w:rFonts w:hint="eastAsia" w:ascii="黑体" w:hAnsi="黑体" w:eastAsia="黑体"/>
          <w:bCs w:val="0"/>
          <w:sz w:val="32"/>
          <w:szCs w:val="32"/>
        </w:rPr>
      </w:pPr>
    </w:p>
    <w:p>
      <w:pPr>
        <w:pStyle w:val="3"/>
        <w:keepNext w:val="0"/>
        <w:keepLines w:val="0"/>
        <w:pageBreakBefore w:val="0"/>
        <w:widowControl w:val="0"/>
        <w:kinsoku/>
        <w:overflowPunct/>
        <w:topLinePunct w:val="0"/>
        <w:bidi w:val="0"/>
        <w:spacing w:line="579" w:lineRule="auto"/>
        <w:ind w:right="-334" w:rightChars="-159"/>
        <w:jc w:val="center"/>
        <w:rPr>
          <w:rFonts w:hint="eastAsia" w:ascii="黑体" w:hAnsi="黑体" w:eastAsia="黑体"/>
          <w:bCs w:val="0"/>
          <w:sz w:val="32"/>
          <w:szCs w:val="32"/>
        </w:rPr>
      </w:pPr>
    </w:p>
    <w:p>
      <w:pPr>
        <w:pStyle w:val="3"/>
        <w:keepNext w:val="0"/>
        <w:keepLines w:val="0"/>
        <w:pageBreakBefore w:val="0"/>
        <w:widowControl w:val="0"/>
        <w:kinsoku/>
        <w:overflowPunct/>
        <w:topLinePunct w:val="0"/>
        <w:bidi w:val="0"/>
        <w:spacing w:line="579" w:lineRule="auto"/>
        <w:ind w:right="-334" w:rightChars="-159"/>
        <w:jc w:val="center"/>
        <w:rPr>
          <w:rFonts w:hint="eastAsia" w:ascii="黑体" w:hAnsi="黑体" w:eastAsia="黑体"/>
          <w:bCs w:val="0"/>
          <w:sz w:val="32"/>
          <w:szCs w:val="32"/>
        </w:rPr>
      </w:pPr>
    </w:p>
    <w:p>
      <w:pPr>
        <w:pStyle w:val="3"/>
        <w:keepNext w:val="0"/>
        <w:keepLines w:val="0"/>
        <w:pageBreakBefore w:val="0"/>
        <w:widowControl w:val="0"/>
        <w:kinsoku/>
        <w:overflowPunct/>
        <w:topLinePunct w:val="0"/>
        <w:bidi w:val="0"/>
        <w:spacing w:line="579" w:lineRule="auto"/>
        <w:ind w:right="-334" w:rightChars="-159"/>
        <w:jc w:val="center"/>
        <w:rPr>
          <w:rFonts w:hint="eastAsia" w:ascii="黑体" w:hAnsi="黑体" w:eastAsia="黑体"/>
          <w:bCs w:val="0"/>
          <w:sz w:val="32"/>
          <w:szCs w:val="32"/>
        </w:rPr>
      </w:pPr>
    </w:p>
    <w:p>
      <w:pPr>
        <w:pStyle w:val="3"/>
        <w:keepNext w:val="0"/>
        <w:keepLines w:val="0"/>
        <w:pageBreakBefore w:val="0"/>
        <w:widowControl w:val="0"/>
        <w:kinsoku/>
        <w:overflowPunct/>
        <w:topLinePunct w:val="0"/>
        <w:bidi w:val="0"/>
        <w:spacing w:line="579" w:lineRule="auto"/>
        <w:ind w:right="-334" w:rightChars="-159"/>
        <w:jc w:val="center"/>
        <w:rPr>
          <w:rFonts w:hint="eastAsia" w:ascii="黑体" w:hAnsi="黑体" w:eastAsia="黑体"/>
          <w:bCs w:val="0"/>
          <w:sz w:val="32"/>
          <w:szCs w:val="32"/>
        </w:rPr>
      </w:pPr>
    </w:p>
    <w:p>
      <w:pPr>
        <w:pStyle w:val="3"/>
        <w:keepNext w:val="0"/>
        <w:keepLines w:val="0"/>
        <w:pageBreakBefore w:val="0"/>
        <w:widowControl w:val="0"/>
        <w:kinsoku/>
        <w:overflowPunct/>
        <w:topLinePunct w:val="0"/>
        <w:bidi w:val="0"/>
        <w:spacing w:line="579" w:lineRule="auto"/>
        <w:ind w:right="-334" w:rightChars="-159"/>
        <w:jc w:val="center"/>
        <w:rPr>
          <w:rFonts w:hint="eastAsia" w:ascii="黑体" w:hAnsi="黑体" w:eastAsia="黑体"/>
          <w:bCs w:val="0"/>
          <w:sz w:val="32"/>
          <w:szCs w:val="32"/>
        </w:rPr>
      </w:pPr>
    </w:p>
    <w:p>
      <w:pPr>
        <w:pStyle w:val="3"/>
        <w:keepNext w:val="0"/>
        <w:keepLines w:val="0"/>
        <w:pageBreakBefore w:val="0"/>
        <w:widowControl w:val="0"/>
        <w:kinsoku/>
        <w:overflowPunct/>
        <w:topLinePunct w:val="0"/>
        <w:bidi w:val="0"/>
        <w:spacing w:line="579" w:lineRule="auto"/>
        <w:ind w:right="-334" w:rightChars="-159"/>
        <w:jc w:val="center"/>
        <w:rPr>
          <w:rFonts w:hint="eastAsia" w:ascii="黑体" w:hAnsi="黑体" w:eastAsia="黑体"/>
          <w:bCs w:val="0"/>
          <w:sz w:val="32"/>
          <w:szCs w:val="32"/>
        </w:rPr>
      </w:pPr>
    </w:p>
    <w:p>
      <w:pPr>
        <w:pStyle w:val="3"/>
        <w:keepNext w:val="0"/>
        <w:keepLines w:val="0"/>
        <w:pageBreakBefore w:val="0"/>
        <w:widowControl w:val="0"/>
        <w:kinsoku/>
        <w:overflowPunct/>
        <w:topLinePunct w:val="0"/>
        <w:bidi w:val="0"/>
        <w:spacing w:line="579" w:lineRule="auto"/>
        <w:ind w:right="-334" w:rightChars="-159"/>
        <w:jc w:val="center"/>
        <w:rPr>
          <w:rFonts w:ascii="黑体" w:hAnsi="黑体" w:eastAsia="黑体"/>
          <w:bCs w:val="0"/>
          <w:sz w:val="32"/>
          <w:szCs w:val="32"/>
        </w:rPr>
      </w:pPr>
      <w:bookmarkStart w:id="43" w:name="_Toc24612"/>
      <w:r>
        <w:rPr>
          <w:rFonts w:hint="eastAsia" w:ascii="黑体" w:hAnsi="黑体" w:eastAsia="黑体"/>
          <w:bCs w:val="0"/>
          <w:sz w:val="32"/>
          <w:szCs w:val="32"/>
        </w:rPr>
        <w:t>1</w:t>
      </w:r>
      <w:r>
        <w:rPr>
          <w:rFonts w:hint="eastAsia" w:ascii="黑体" w:hAnsi="黑体" w:eastAsia="黑体"/>
          <w:bCs w:val="0"/>
          <w:sz w:val="32"/>
          <w:szCs w:val="32"/>
          <w:lang w:val="en-US" w:eastAsia="zh-CN"/>
        </w:rPr>
        <w:t>2</w:t>
      </w:r>
      <w:r>
        <w:rPr>
          <w:rFonts w:hint="eastAsia" w:ascii="黑体" w:hAnsi="黑体" w:eastAsia="黑体"/>
          <w:bCs w:val="0"/>
          <w:sz w:val="32"/>
          <w:szCs w:val="32"/>
        </w:rPr>
        <w:t>、投标单位同类项目业绩情况</w:t>
      </w:r>
      <w:bookmarkEnd w:id="41"/>
      <w:bookmarkEnd w:id="42"/>
      <w:bookmarkEnd w:id="43"/>
    </w:p>
    <w:p>
      <w:pPr>
        <w:keepNext w:val="0"/>
        <w:keepLines w:val="0"/>
        <w:pageBreakBefore w:val="0"/>
        <w:widowControl w:val="0"/>
        <w:kinsoku/>
        <w:overflowPunct/>
        <w:topLinePunct w:val="0"/>
        <w:bidi w:val="0"/>
        <w:spacing w:before="156" w:after="156"/>
        <w:ind w:left="105"/>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 xml:space="preserve">投标人名称__________________ </w:t>
      </w:r>
    </w:p>
    <w:tbl>
      <w:tblPr>
        <w:tblStyle w:val="28"/>
        <w:tblW w:w="98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185"/>
        <w:gridCol w:w="1230"/>
        <w:gridCol w:w="816"/>
        <w:gridCol w:w="1500"/>
        <w:gridCol w:w="969"/>
        <w:gridCol w:w="1230"/>
        <w:gridCol w:w="99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38" w:type="dxa"/>
          </w:tcPr>
          <w:p>
            <w:pPr>
              <w:keepNext w:val="0"/>
              <w:keepLines w:val="0"/>
              <w:pageBreakBefore w:val="0"/>
              <w:widowControl w:val="0"/>
              <w:kinsoku/>
              <w:overflowPunct/>
              <w:topLinePunct w:val="0"/>
              <w:bidi w:val="0"/>
              <w:spacing w:before="156" w:after="156"/>
              <w:ind w:left="105"/>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185" w:type="dxa"/>
          </w:tcPr>
          <w:p>
            <w:pPr>
              <w:keepNext w:val="0"/>
              <w:keepLines w:val="0"/>
              <w:pageBreakBefore w:val="0"/>
              <w:widowControl w:val="0"/>
              <w:kinsoku/>
              <w:overflowPunct/>
              <w:topLinePunct w:val="0"/>
              <w:bidi w:val="0"/>
              <w:spacing w:before="156" w:after="156"/>
              <w:ind w:left="105"/>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用户单位</w:t>
            </w:r>
          </w:p>
        </w:tc>
        <w:tc>
          <w:tcPr>
            <w:tcW w:w="1230" w:type="dxa"/>
          </w:tcPr>
          <w:p>
            <w:pPr>
              <w:keepNext w:val="0"/>
              <w:keepLines w:val="0"/>
              <w:pageBreakBefore w:val="0"/>
              <w:widowControl w:val="0"/>
              <w:kinsoku/>
              <w:overflowPunct/>
              <w:topLinePunct w:val="0"/>
              <w:bidi w:val="0"/>
              <w:spacing w:before="156" w:after="156"/>
              <w:ind w:left="105"/>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816" w:type="dxa"/>
          </w:tcPr>
          <w:p>
            <w:pPr>
              <w:keepNext w:val="0"/>
              <w:keepLines w:val="0"/>
              <w:pageBreakBefore w:val="0"/>
              <w:widowControl w:val="0"/>
              <w:kinsoku/>
              <w:overflowPunct/>
              <w:topLinePunct w:val="0"/>
              <w:bidi w:val="0"/>
              <w:spacing w:before="156" w:after="156"/>
              <w:ind w:left="105"/>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时间</w:t>
            </w:r>
          </w:p>
        </w:tc>
        <w:tc>
          <w:tcPr>
            <w:tcW w:w="1500" w:type="dxa"/>
          </w:tcPr>
          <w:p>
            <w:pPr>
              <w:keepNext w:val="0"/>
              <w:keepLines w:val="0"/>
              <w:pageBreakBefore w:val="0"/>
              <w:widowControl w:val="0"/>
              <w:kinsoku/>
              <w:overflowPunct/>
              <w:topLinePunct w:val="0"/>
              <w:bidi w:val="0"/>
              <w:spacing w:before="156" w:after="156"/>
              <w:ind w:left="105"/>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规模（金额）</w:t>
            </w:r>
          </w:p>
        </w:tc>
        <w:tc>
          <w:tcPr>
            <w:tcW w:w="969" w:type="dxa"/>
          </w:tcPr>
          <w:p>
            <w:pPr>
              <w:keepNext w:val="0"/>
              <w:keepLines w:val="0"/>
              <w:pageBreakBefore w:val="0"/>
              <w:widowControl w:val="0"/>
              <w:kinsoku/>
              <w:overflowPunct/>
              <w:topLinePunct w:val="0"/>
              <w:bidi w:val="0"/>
              <w:spacing w:before="156" w:after="156"/>
              <w:ind w:left="105"/>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w:t>
            </w:r>
          </w:p>
        </w:tc>
        <w:tc>
          <w:tcPr>
            <w:tcW w:w="1230" w:type="dxa"/>
          </w:tcPr>
          <w:p>
            <w:pPr>
              <w:keepNext w:val="0"/>
              <w:keepLines w:val="0"/>
              <w:pageBreakBefore w:val="0"/>
              <w:widowControl w:val="0"/>
              <w:kinsoku/>
              <w:overflowPunct/>
              <w:topLinePunct w:val="0"/>
              <w:bidi w:val="0"/>
              <w:spacing w:before="156" w:after="156"/>
              <w:ind w:left="105"/>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使用科室</w:t>
            </w:r>
          </w:p>
        </w:tc>
        <w:tc>
          <w:tcPr>
            <w:tcW w:w="990" w:type="dxa"/>
          </w:tcPr>
          <w:p>
            <w:pPr>
              <w:keepNext w:val="0"/>
              <w:keepLines w:val="0"/>
              <w:pageBreakBefore w:val="0"/>
              <w:widowControl w:val="0"/>
              <w:kinsoku/>
              <w:overflowPunct/>
              <w:topLinePunct w:val="0"/>
              <w:bidi w:val="0"/>
              <w:spacing w:before="156" w:after="156"/>
              <w:ind w:left="105"/>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联系人</w:t>
            </w:r>
          </w:p>
        </w:tc>
        <w:tc>
          <w:tcPr>
            <w:tcW w:w="1350" w:type="dxa"/>
          </w:tcPr>
          <w:p>
            <w:pPr>
              <w:keepNext w:val="0"/>
              <w:keepLines w:val="0"/>
              <w:pageBreakBefore w:val="0"/>
              <w:widowControl w:val="0"/>
              <w:kinsoku/>
              <w:overflowPunct/>
              <w:topLinePunct w:val="0"/>
              <w:bidi w:val="0"/>
              <w:spacing w:before="156" w:after="156"/>
              <w:ind w:left="105"/>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538"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1185"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1230"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816"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1500"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969"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1230"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990"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1350"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538"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1185"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1230"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816"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1500"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969"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1230"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990"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1350"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538"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1185"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1230"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816"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1500"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969"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1230"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990"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1350"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538"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1185"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1230"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816"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1500"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969"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1230"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990"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c>
          <w:tcPr>
            <w:tcW w:w="1350" w:type="dxa"/>
          </w:tcPr>
          <w:p>
            <w:pPr>
              <w:keepNext w:val="0"/>
              <w:keepLines w:val="0"/>
              <w:pageBreakBefore w:val="0"/>
              <w:widowControl w:val="0"/>
              <w:kinsoku/>
              <w:overflowPunct/>
              <w:topLinePunct w:val="0"/>
              <w:bidi w:val="0"/>
              <w:spacing w:before="156" w:after="156"/>
              <w:ind w:left="105"/>
              <w:rPr>
                <w:rFonts w:ascii="宋体" w:hAnsi="宋体"/>
                <w:color w:val="000000" w:themeColor="text1"/>
                <w:szCs w:val="21"/>
                <w14:textFill>
                  <w14:solidFill>
                    <w14:schemeClr w14:val="tx1"/>
                  </w14:solidFill>
                </w14:textFill>
              </w:rPr>
            </w:pPr>
          </w:p>
        </w:tc>
      </w:tr>
    </w:tbl>
    <w:p>
      <w:pPr>
        <w:keepNext w:val="0"/>
        <w:keepLines w:val="0"/>
        <w:pageBreakBefore w:val="0"/>
        <w:widowControl w:val="0"/>
        <w:kinsoku/>
        <w:overflowPunct/>
        <w:topLinePunct w:val="0"/>
        <w:bidi w:val="0"/>
        <w:spacing w:before="156" w:after="156"/>
        <w:ind w:left="105"/>
        <w:rPr>
          <w:color w:val="000000" w:themeColor="text1"/>
          <w14:textFill>
            <w14:solidFill>
              <w14:schemeClr w14:val="tx1"/>
            </w14:solidFill>
          </w14:textFill>
        </w:rPr>
      </w:pPr>
      <w:r>
        <w:rPr>
          <w:rFonts w:hint="eastAsia"/>
          <w:color w:val="000000" w:themeColor="text1"/>
          <w14:textFill>
            <w14:solidFill>
              <w14:schemeClr w14:val="tx1"/>
            </w14:solidFill>
          </w14:textFill>
        </w:rPr>
        <w:t>此表可延长</w:t>
      </w:r>
    </w:p>
    <w:p>
      <w:pPr>
        <w:keepNext w:val="0"/>
        <w:keepLines w:val="0"/>
        <w:pageBreakBefore w:val="0"/>
        <w:widowControl w:val="0"/>
        <w:kinsoku/>
        <w:overflowPunct/>
        <w:topLinePunct w:val="0"/>
        <w:bidi w:val="0"/>
        <w:spacing w:before="156" w:after="156"/>
        <w:rPr>
          <w:rFonts w:cs="Arial"/>
          <w:color w:val="000000" w:themeColor="text1"/>
          <w14:textFill>
            <w14:solidFill>
              <w14:schemeClr w14:val="tx1"/>
            </w14:solidFill>
          </w14:textFill>
        </w:rPr>
      </w:pPr>
    </w:p>
    <w:p>
      <w:pPr>
        <w:keepNext w:val="0"/>
        <w:keepLines w:val="0"/>
        <w:pageBreakBefore w:val="0"/>
        <w:widowControl w:val="0"/>
        <w:kinsoku/>
        <w:overflowPunct/>
        <w:topLinePunct w:val="0"/>
        <w:bidi w:val="0"/>
        <w:spacing w:before="156" w:after="156"/>
        <w:ind w:left="105"/>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投标人代表________________________</w:t>
      </w:r>
    </w:p>
    <w:p>
      <w:pPr>
        <w:keepNext w:val="0"/>
        <w:keepLines w:val="0"/>
        <w:pageBreakBefore w:val="0"/>
        <w:widowControl w:val="0"/>
        <w:kinsoku/>
        <w:overflowPunct/>
        <w:topLinePunct w:val="0"/>
        <w:bidi w:val="0"/>
        <w:spacing w:before="156" w:after="156"/>
        <w:ind w:left="105"/>
        <w:rPr>
          <w:rFonts w:cs="Arial"/>
          <w:color w:val="000000" w:themeColor="text1"/>
          <w14:textFill>
            <w14:solidFill>
              <w14:schemeClr w14:val="tx1"/>
            </w14:solidFill>
          </w14:textFill>
        </w:rPr>
      </w:pPr>
    </w:p>
    <w:p>
      <w:pPr>
        <w:keepNext w:val="0"/>
        <w:keepLines w:val="0"/>
        <w:pageBreakBefore w:val="0"/>
        <w:widowControl w:val="0"/>
        <w:kinsoku/>
        <w:overflowPunct/>
        <w:topLinePunct w:val="0"/>
        <w:bidi w:val="0"/>
        <w:spacing w:before="156" w:after="156"/>
        <w:ind w:left="105"/>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投标单位________________________</w:t>
      </w:r>
    </w:p>
    <w:p>
      <w:pPr>
        <w:keepNext w:val="0"/>
        <w:keepLines w:val="0"/>
        <w:pageBreakBefore w:val="0"/>
        <w:widowControl w:val="0"/>
        <w:kinsoku/>
        <w:overflowPunct/>
        <w:topLinePunct w:val="0"/>
        <w:bidi w:val="0"/>
        <w:spacing w:before="156" w:after="156"/>
        <w:ind w:left="105" w:leftChars="50"/>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年  月  日</w:t>
      </w:r>
    </w:p>
    <w:p>
      <w:pPr>
        <w:spacing w:before="156" w:after="156"/>
        <w:ind w:left="105" w:firstLine="211" w:firstLineChars="100"/>
        <w:rPr>
          <w:rFonts w:cs="Arial"/>
          <w:b/>
          <w:color w:val="000000" w:themeColor="text1"/>
          <w:highlight w:val="none"/>
          <w14:textFill>
            <w14:solidFill>
              <w14:schemeClr w14:val="tx1"/>
            </w14:solidFill>
          </w14:textFill>
        </w:rPr>
      </w:pPr>
      <w:bookmarkStart w:id="44" w:name="_Toc17307"/>
      <w:r>
        <w:rPr>
          <w:rFonts w:hint="eastAsia" w:cs="Arial"/>
          <w:b/>
          <w:color w:val="000000" w:themeColor="text1"/>
          <w:highlight w:val="none"/>
          <w14:textFill>
            <w14:solidFill>
              <w14:schemeClr w14:val="tx1"/>
            </w14:solidFill>
          </w14:textFill>
        </w:rPr>
        <w:t>注：1、必须提供合同关键页</w:t>
      </w:r>
      <w:r>
        <w:rPr>
          <w:rFonts w:hint="eastAsia"/>
          <w:b/>
          <w:color w:val="000000" w:themeColor="text1"/>
          <w:highlight w:val="none"/>
          <w14:textFill>
            <w14:solidFill>
              <w14:schemeClr w14:val="tx1"/>
            </w14:solidFill>
          </w14:textFill>
        </w:rPr>
        <w:t>（含产品的单价和总金额）</w:t>
      </w:r>
      <w:r>
        <w:rPr>
          <w:rFonts w:hint="eastAsia" w:cs="Arial"/>
          <w:b/>
          <w:color w:val="000000" w:themeColor="text1"/>
          <w:highlight w:val="none"/>
          <w14:textFill>
            <w14:solidFill>
              <w14:schemeClr w14:val="tx1"/>
            </w14:solidFill>
          </w14:textFill>
        </w:rPr>
        <w:t>复印件加盖公章，原件备查。</w:t>
      </w:r>
    </w:p>
    <w:p>
      <w:pPr>
        <w:numPr>
          <w:ilvl w:val="0"/>
          <w:numId w:val="6"/>
        </w:numPr>
        <w:spacing w:before="156" w:after="156"/>
        <w:ind w:left="105" w:firstLine="632" w:firstLineChars="300"/>
        <w:rPr>
          <w:rFonts w:hint="eastAsia" w:ascii="Times New Roman" w:hAnsi="Times New Roman" w:eastAsia="宋体" w:cs="Arial"/>
          <w:b/>
          <w:color w:val="000000" w:themeColor="text1"/>
          <w:kern w:val="2"/>
          <w:sz w:val="21"/>
          <w:szCs w:val="24"/>
          <w:lang w:val="en-US" w:eastAsia="zh-CN" w:bidi="ar-SA"/>
          <w14:textFill>
            <w14:solidFill>
              <w14:schemeClr w14:val="tx1"/>
            </w14:solidFill>
          </w14:textFill>
        </w:rPr>
      </w:pPr>
      <w:r>
        <w:rPr>
          <w:rFonts w:hint="eastAsia" w:cs="Arial"/>
          <w:b/>
          <w:color w:val="000000" w:themeColor="text1"/>
          <w:highlight w:val="none"/>
          <w14:textFill>
            <w14:solidFill>
              <w14:schemeClr w14:val="tx1"/>
            </w14:solidFill>
          </w14:textFill>
        </w:rPr>
        <w:t>凡发票需在国家税务总局全国增值税发票查验平台验证打印</w:t>
      </w:r>
      <w:r>
        <w:rPr>
          <w:rFonts w:hint="eastAsia" w:cs="Arial"/>
          <w:b/>
          <w:color w:val="000000" w:themeColor="text1"/>
          <w:highlight w:val="none"/>
          <w:lang w:eastAsia="zh-CN"/>
          <w14:textFill>
            <w14:solidFill>
              <w14:schemeClr w14:val="tx1"/>
            </w14:solidFill>
          </w14:textFill>
        </w:rPr>
        <w:t>。</w:t>
      </w:r>
    </w:p>
    <w:p>
      <w:pPr>
        <w:rPr>
          <w:rFonts w:hint="eastAsia"/>
          <w:lang w:val="en-US" w:eastAsia="zh-CN"/>
        </w:rPr>
      </w:pPr>
      <w:r>
        <w:rPr>
          <w:rFonts w:hint="eastAsia" w:cs="Arial"/>
          <w:b/>
          <w:color w:val="000000" w:themeColor="text1"/>
          <w:highlight w:val="none"/>
          <w:lang w:eastAsia="zh-CN"/>
          <w14:textFill>
            <w14:solidFill>
              <w14:schemeClr w14:val="tx1"/>
            </w14:solidFill>
          </w14:textFill>
        </w:rPr>
        <w:br w:type="page"/>
      </w:r>
    </w:p>
    <w:p>
      <w:pPr>
        <w:pStyle w:val="3"/>
        <w:keepNext w:val="0"/>
        <w:keepLines w:val="0"/>
        <w:pageBreakBefore w:val="0"/>
        <w:widowControl w:val="0"/>
        <w:kinsoku/>
        <w:overflowPunct/>
        <w:topLinePunct w:val="0"/>
        <w:bidi w:val="0"/>
        <w:spacing w:line="579" w:lineRule="auto"/>
        <w:jc w:val="center"/>
        <w:rPr>
          <w:rFonts w:ascii="黑体" w:hAnsi="黑体" w:eastAsia="黑体"/>
          <w:bCs w:val="0"/>
          <w:sz w:val="32"/>
          <w:szCs w:val="32"/>
        </w:rPr>
      </w:pPr>
      <w:bookmarkStart w:id="45" w:name="_Toc13123"/>
      <w:r>
        <w:rPr>
          <w:rFonts w:hint="eastAsia" w:ascii="黑体" w:hAnsi="黑体" w:eastAsia="黑体"/>
          <w:bCs w:val="0"/>
          <w:sz w:val="32"/>
          <w:szCs w:val="32"/>
        </w:rPr>
        <w:t>1</w:t>
      </w:r>
      <w:r>
        <w:rPr>
          <w:rFonts w:hint="eastAsia" w:ascii="黑体" w:hAnsi="黑体" w:eastAsia="黑体"/>
          <w:bCs w:val="0"/>
          <w:sz w:val="32"/>
          <w:szCs w:val="32"/>
          <w:lang w:val="en-US" w:eastAsia="zh-CN"/>
        </w:rPr>
        <w:t>3</w:t>
      </w:r>
      <w:r>
        <w:rPr>
          <w:rFonts w:hint="eastAsia" w:ascii="黑体" w:hAnsi="黑体" w:eastAsia="黑体"/>
          <w:bCs w:val="0"/>
          <w:sz w:val="32"/>
          <w:szCs w:val="32"/>
        </w:rPr>
        <w:t>、</w:t>
      </w:r>
      <w:bookmarkEnd w:id="44"/>
      <w:r>
        <w:rPr>
          <w:rFonts w:hint="eastAsia" w:ascii="黑体" w:hAnsi="黑体" w:eastAsia="黑体"/>
          <w:bCs w:val="0"/>
          <w:sz w:val="32"/>
          <w:szCs w:val="32"/>
        </w:rPr>
        <w:t>其它</w:t>
      </w:r>
      <w:bookmarkEnd w:id="45"/>
    </w:p>
    <w:p>
      <w:pPr>
        <w:keepNext w:val="0"/>
        <w:keepLines w:val="0"/>
        <w:pageBreakBefore w:val="0"/>
        <w:widowControl w:val="0"/>
        <w:kinsoku/>
        <w:overflowPunct/>
        <w:topLinePunct w:val="0"/>
        <w:bidi w:val="0"/>
      </w:pPr>
      <w:r>
        <w:rPr>
          <w:rFonts w:hint="eastAsia"/>
        </w:rPr>
        <w:t>（投标资格证明文件，投标服务符合“招标文件”规定的证明</w:t>
      </w:r>
      <w:bookmarkStart w:id="46" w:name="_Toc22228"/>
      <w:r>
        <w:rPr>
          <w:rFonts w:hint="eastAsia"/>
        </w:rPr>
        <w:t>文件，及投标人认为必要提供的其他内容</w:t>
      </w:r>
      <w:bookmarkEnd w:id="46"/>
      <w:r>
        <w:rPr>
          <w:rFonts w:hint="eastAsia"/>
        </w:rPr>
        <w:t>）</w:t>
      </w: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pStyle w:val="30"/>
        <w:keepNext w:val="0"/>
        <w:keepLines w:val="0"/>
        <w:pageBreakBefore w:val="0"/>
        <w:widowControl w:val="0"/>
        <w:kinsoku/>
        <w:overflowPunct/>
        <w:topLinePunct w:val="0"/>
        <w:bidi w:val="0"/>
        <w:rPr>
          <w:bCs w:val="0"/>
        </w:rPr>
      </w:pPr>
    </w:p>
    <w:p>
      <w:pPr>
        <w:keepNext w:val="0"/>
        <w:keepLines w:val="0"/>
        <w:pageBreakBefore w:val="0"/>
        <w:widowControl w:val="0"/>
        <w:kinsoku/>
        <w:overflowPunct/>
        <w:topLinePunct w:val="0"/>
        <w:bidi w:val="0"/>
      </w:pPr>
      <w:r>
        <w:br w:type="page"/>
      </w:r>
    </w:p>
    <w:p>
      <w:pPr>
        <w:pStyle w:val="3"/>
        <w:keepNext w:val="0"/>
        <w:keepLines w:val="0"/>
        <w:pageBreakBefore w:val="0"/>
        <w:widowControl w:val="0"/>
        <w:kinsoku/>
        <w:overflowPunct/>
        <w:topLinePunct w:val="0"/>
        <w:bidi w:val="0"/>
        <w:spacing w:line="579" w:lineRule="auto"/>
        <w:jc w:val="center"/>
        <w:rPr>
          <w:rFonts w:ascii="黑体" w:hAnsi="黑体" w:eastAsia="黑体"/>
          <w:bCs w:val="0"/>
          <w:sz w:val="32"/>
          <w:szCs w:val="32"/>
        </w:rPr>
      </w:pPr>
      <w:bookmarkStart w:id="47" w:name="_Toc28825"/>
      <w:bookmarkStart w:id="48" w:name="_Toc30207"/>
      <w:r>
        <w:rPr>
          <w:rFonts w:hint="eastAsia" w:ascii="黑体" w:hAnsi="黑体" w:eastAsia="黑体"/>
          <w:bCs w:val="0"/>
          <w:sz w:val="32"/>
          <w:szCs w:val="32"/>
        </w:rPr>
        <w:t>1</w:t>
      </w:r>
      <w:r>
        <w:rPr>
          <w:rFonts w:hint="eastAsia" w:ascii="黑体" w:hAnsi="黑体" w:eastAsia="黑体"/>
          <w:bCs w:val="0"/>
          <w:sz w:val="32"/>
          <w:szCs w:val="32"/>
          <w:lang w:val="en-US" w:eastAsia="zh-CN"/>
        </w:rPr>
        <w:t>4</w:t>
      </w:r>
      <w:r>
        <w:rPr>
          <w:rFonts w:hint="eastAsia" w:ascii="黑体" w:hAnsi="黑体" w:eastAsia="黑体"/>
          <w:bCs w:val="0"/>
          <w:sz w:val="32"/>
          <w:szCs w:val="32"/>
        </w:rPr>
        <w:t>、投标人诚信承诺函</w:t>
      </w:r>
      <w:bookmarkEnd w:id="47"/>
      <w:bookmarkEnd w:id="48"/>
    </w:p>
    <w:p>
      <w:pPr>
        <w:keepNext w:val="0"/>
        <w:keepLines w:val="0"/>
        <w:pageBreakBefore w:val="0"/>
        <w:widowControl w:val="0"/>
        <w:kinsoku/>
        <w:overflowPunct/>
        <w:topLinePunct w:val="0"/>
        <w:bidi w:val="0"/>
        <w:ind w:left="-1"/>
        <w:rPr>
          <w:sz w:val="24"/>
        </w:rPr>
      </w:pPr>
    </w:p>
    <w:p>
      <w:pPr>
        <w:keepNext w:val="0"/>
        <w:keepLines w:val="0"/>
        <w:pageBreakBefore w:val="0"/>
        <w:widowControl w:val="0"/>
        <w:kinsoku/>
        <w:overflowPunct/>
        <w:topLinePunct w:val="0"/>
        <w:bidi w:val="0"/>
        <w:ind w:left="-1"/>
        <w:rPr>
          <w:sz w:val="24"/>
        </w:rPr>
      </w:pPr>
      <w:r>
        <w:rPr>
          <w:rFonts w:hint="eastAsia"/>
          <w:sz w:val="24"/>
        </w:rPr>
        <w:t>致：</w:t>
      </w:r>
      <w:r>
        <w:rPr>
          <w:rFonts w:hint="eastAsia"/>
          <w:kern w:val="0"/>
          <w:sz w:val="24"/>
        </w:rPr>
        <w:t>深圳市宝安区妇幼保健院</w:t>
      </w:r>
    </w:p>
    <w:p>
      <w:pPr>
        <w:keepNext w:val="0"/>
        <w:keepLines w:val="0"/>
        <w:pageBreakBefore w:val="0"/>
        <w:widowControl w:val="0"/>
        <w:kinsoku/>
        <w:overflowPunct/>
        <w:topLinePunct w:val="0"/>
        <w:bidi w:val="0"/>
        <w:ind w:left="-1"/>
        <w:rPr>
          <w:sz w:val="24"/>
        </w:rPr>
      </w:pPr>
    </w:p>
    <w:p>
      <w:pPr>
        <w:keepNext w:val="0"/>
        <w:keepLines w:val="0"/>
        <w:pageBreakBefore w:val="0"/>
        <w:widowControl w:val="0"/>
        <w:kinsoku/>
        <w:overflowPunct/>
        <w:topLinePunct w:val="0"/>
        <w:bidi w:val="0"/>
        <w:ind w:left="-1" w:firstLine="540"/>
        <w:rPr>
          <w:sz w:val="24"/>
        </w:rPr>
      </w:pPr>
      <w:r>
        <w:rPr>
          <w:rFonts w:hint="eastAsia"/>
          <w:sz w:val="24"/>
        </w:rPr>
        <w:t>我公司承诺，在政府采购中无下列行为：</w:t>
      </w:r>
    </w:p>
    <w:p>
      <w:pPr>
        <w:keepNext w:val="0"/>
        <w:keepLines w:val="0"/>
        <w:pageBreakBefore w:val="0"/>
        <w:widowControl w:val="0"/>
        <w:kinsoku/>
        <w:overflowPunct/>
        <w:topLinePunct w:val="0"/>
        <w:bidi w:val="0"/>
        <w:ind w:left="-1" w:firstLine="540"/>
        <w:rPr>
          <w:sz w:val="24"/>
        </w:rPr>
      </w:pPr>
      <w:r>
        <w:rPr>
          <w:rFonts w:hint="eastAsia"/>
          <w:sz w:val="24"/>
        </w:rPr>
        <w:t>（一）被纪检监察部门立案调查，违法违规事实成立的；</w:t>
      </w:r>
    </w:p>
    <w:p>
      <w:pPr>
        <w:keepNext w:val="0"/>
        <w:keepLines w:val="0"/>
        <w:pageBreakBefore w:val="0"/>
        <w:widowControl w:val="0"/>
        <w:kinsoku/>
        <w:overflowPunct/>
        <w:topLinePunct w:val="0"/>
        <w:bidi w:val="0"/>
        <w:ind w:left="-1" w:firstLine="540"/>
        <w:rPr>
          <w:sz w:val="24"/>
        </w:rPr>
      </w:pPr>
      <w:r>
        <w:rPr>
          <w:rFonts w:hint="eastAsia"/>
          <w:sz w:val="24"/>
        </w:rPr>
        <w:t>（二）未按规定签订、履行采购合同，造成严重后果的；</w:t>
      </w:r>
    </w:p>
    <w:p>
      <w:pPr>
        <w:keepNext w:val="0"/>
        <w:keepLines w:val="0"/>
        <w:pageBreakBefore w:val="0"/>
        <w:widowControl w:val="0"/>
        <w:kinsoku/>
        <w:overflowPunct/>
        <w:topLinePunct w:val="0"/>
        <w:bidi w:val="0"/>
        <w:ind w:left="-1" w:firstLine="540"/>
        <w:rPr>
          <w:sz w:val="24"/>
        </w:rPr>
      </w:pPr>
      <w:r>
        <w:rPr>
          <w:rFonts w:hint="eastAsia"/>
          <w:sz w:val="24"/>
        </w:rPr>
        <w:t>（三）隐瞒真实情况，提供虚假资料的；</w:t>
      </w:r>
    </w:p>
    <w:p>
      <w:pPr>
        <w:keepNext w:val="0"/>
        <w:keepLines w:val="0"/>
        <w:pageBreakBefore w:val="0"/>
        <w:widowControl w:val="0"/>
        <w:kinsoku/>
        <w:overflowPunct/>
        <w:topLinePunct w:val="0"/>
        <w:bidi w:val="0"/>
        <w:ind w:left="-1" w:firstLine="540"/>
        <w:rPr>
          <w:sz w:val="24"/>
        </w:rPr>
      </w:pPr>
      <w:r>
        <w:rPr>
          <w:rFonts w:hint="eastAsia"/>
          <w:sz w:val="24"/>
        </w:rPr>
        <w:t>（四）以非法手段排斥其他供应商参与竞争的；</w:t>
      </w:r>
    </w:p>
    <w:p>
      <w:pPr>
        <w:keepNext w:val="0"/>
        <w:keepLines w:val="0"/>
        <w:pageBreakBefore w:val="0"/>
        <w:widowControl w:val="0"/>
        <w:kinsoku/>
        <w:overflowPunct/>
        <w:topLinePunct w:val="0"/>
        <w:bidi w:val="0"/>
        <w:ind w:left="-1" w:firstLine="540"/>
        <w:rPr>
          <w:sz w:val="24"/>
        </w:rPr>
      </w:pPr>
      <w:r>
        <w:rPr>
          <w:rFonts w:hint="eastAsia"/>
          <w:sz w:val="24"/>
        </w:rPr>
        <w:t>（五）与其他采购参加人串通投标的；</w:t>
      </w:r>
    </w:p>
    <w:p>
      <w:pPr>
        <w:keepNext w:val="0"/>
        <w:keepLines w:val="0"/>
        <w:pageBreakBefore w:val="0"/>
        <w:widowControl w:val="0"/>
        <w:kinsoku/>
        <w:overflowPunct/>
        <w:topLinePunct w:val="0"/>
        <w:bidi w:val="0"/>
        <w:ind w:left="-1" w:firstLine="540"/>
        <w:rPr>
          <w:sz w:val="24"/>
        </w:rPr>
      </w:pPr>
      <w:r>
        <w:rPr>
          <w:rFonts w:hint="eastAsia"/>
          <w:sz w:val="24"/>
        </w:rPr>
        <w:t>（六）在采购活动中应当回避而未回避的；</w:t>
      </w:r>
    </w:p>
    <w:p>
      <w:pPr>
        <w:keepNext w:val="0"/>
        <w:keepLines w:val="0"/>
        <w:pageBreakBefore w:val="0"/>
        <w:widowControl w:val="0"/>
        <w:kinsoku/>
        <w:overflowPunct/>
        <w:topLinePunct w:val="0"/>
        <w:bidi w:val="0"/>
        <w:ind w:left="-1" w:firstLine="540"/>
        <w:rPr>
          <w:sz w:val="24"/>
        </w:rPr>
      </w:pPr>
      <w:r>
        <w:rPr>
          <w:rFonts w:hint="eastAsia"/>
          <w:sz w:val="24"/>
        </w:rPr>
        <w:t>（七）恶意投诉的；</w:t>
      </w:r>
    </w:p>
    <w:p>
      <w:pPr>
        <w:keepNext w:val="0"/>
        <w:keepLines w:val="0"/>
        <w:pageBreakBefore w:val="0"/>
        <w:widowControl w:val="0"/>
        <w:kinsoku/>
        <w:overflowPunct/>
        <w:topLinePunct w:val="0"/>
        <w:bidi w:val="0"/>
        <w:ind w:left="-1" w:firstLine="540"/>
        <w:rPr>
          <w:sz w:val="24"/>
        </w:rPr>
      </w:pPr>
      <w:r>
        <w:rPr>
          <w:rFonts w:hint="eastAsia"/>
          <w:sz w:val="24"/>
        </w:rPr>
        <w:t>（八）向采购项目相关人行贿或者提供其他不当利益的；</w:t>
      </w:r>
    </w:p>
    <w:p>
      <w:pPr>
        <w:keepNext w:val="0"/>
        <w:keepLines w:val="0"/>
        <w:pageBreakBefore w:val="0"/>
        <w:widowControl w:val="0"/>
        <w:kinsoku/>
        <w:overflowPunct/>
        <w:topLinePunct w:val="0"/>
        <w:bidi w:val="0"/>
        <w:ind w:left="-1" w:firstLine="540"/>
        <w:rPr>
          <w:sz w:val="24"/>
        </w:rPr>
      </w:pPr>
      <w:r>
        <w:rPr>
          <w:rFonts w:hint="eastAsia"/>
          <w:sz w:val="24"/>
        </w:rPr>
        <w:t>（九）阻碍、抗拒主管部门监督检查的；</w:t>
      </w:r>
    </w:p>
    <w:p>
      <w:pPr>
        <w:keepNext w:val="0"/>
        <w:keepLines w:val="0"/>
        <w:pageBreakBefore w:val="0"/>
        <w:widowControl w:val="0"/>
        <w:kinsoku/>
        <w:overflowPunct/>
        <w:topLinePunct w:val="0"/>
        <w:bidi w:val="0"/>
        <w:ind w:left="-1" w:firstLine="540"/>
        <w:rPr>
          <w:sz w:val="24"/>
        </w:rPr>
      </w:pPr>
      <w:r>
        <w:rPr>
          <w:rFonts w:hint="eastAsia"/>
          <w:sz w:val="24"/>
        </w:rPr>
        <w:t>（十）履约检查不及格或评价为差的；</w:t>
      </w:r>
    </w:p>
    <w:p>
      <w:pPr>
        <w:ind w:left="-1" w:firstLine="540"/>
        <w:rPr>
          <w:sz w:val="24"/>
          <w:highlight w:val="none"/>
        </w:rPr>
      </w:pPr>
      <w:r>
        <w:rPr>
          <w:rFonts w:hint="eastAsia"/>
          <w:sz w:val="24"/>
          <w:highlight w:val="none"/>
        </w:rPr>
        <w:t>（十一）与本项目中的其他供应商不存在单位法定代表人（负责人）为同一人或者直接控股、管理关系等利益关联。</w:t>
      </w:r>
    </w:p>
    <w:p>
      <w:pPr>
        <w:ind w:left="-1" w:firstLine="540"/>
        <w:rPr>
          <w:sz w:val="24"/>
          <w:highlight w:val="none"/>
        </w:rPr>
      </w:pPr>
      <w:r>
        <w:rPr>
          <w:rFonts w:hint="eastAsia"/>
          <w:sz w:val="24"/>
          <w:highlight w:val="none"/>
        </w:rPr>
        <w:t>（十二）主管部门认为的其他情形。</w:t>
      </w:r>
    </w:p>
    <w:p>
      <w:pPr>
        <w:keepNext w:val="0"/>
        <w:keepLines w:val="0"/>
        <w:pageBreakBefore w:val="0"/>
        <w:widowControl w:val="0"/>
        <w:kinsoku/>
        <w:overflowPunct/>
        <w:topLinePunct w:val="0"/>
        <w:bidi w:val="0"/>
        <w:ind w:left="-1" w:firstLine="645"/>
        <w:rPr>
          <w:sz w:val="24"/>
        </w:rPr>
      </w:pPr>
    </w:p>
    <w:p>
      <w:pPr>
        <w:keepNext w:val="0"/>
        <w:keepLines w:val="0"/>
        <w:pageBreakBefore w:val="0"/>
        <w:widowControl w:val="0"/>
        <w:kinsoku/>
        <w:overflowPunct/>
        <w:topLinePunct w:val="0"/>
        <w:bidi w:val="0"/>
        <w:ind w:left="-1" w:firstLine="645"/>
        <w:rPr>
          <w:sz w:val="24"/>
        </w:rPr>
      </w:pPr>
      <w:r>
        <w:rPr>
          <w:sz w:val="24"/>
        </w:rPr>
        <w:t xml:space="preserve">                                   </w:t>
      </w:r>
    </w:p>
    <w:p>
      <w:pPr>
        <w:keepNext w:val="0"/>
        <w:keepLines w:val="0"/>
        <w:pageBreakBefore w:val="0"/>
        <w:widowControl w:val="0"/>
        <w:kinsoku/>
        <w:overflowPunct/>
        <w:topLinePunct w:val="0"/>
        <w:bidi w:val="0"/>
        <w:ind w:left="-1" w:firstLine="4960" w:firstLineChars="2067"/>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pPr>
        <w:keepNext w:val="0"/>
        <w:keepLines w:val="0"/>
        <w:pageBreakBefore w:val="0"/>
        <w:widowControl w:val="0"/>
        <w:kinsoku/>
        <w:overflowPunct/>
        <w:topLinePunct w:val="0"/>
        <w:bidi w:val="0"/>
        <w:ind w:left="-1" w:firstLine="645"/>
        <w:rPr>
          <w:sz w:val="24"/>
        </w:rPr>
      </w:pPr>
    </w:p>
    <w:p>
      <w:pPr>
        <w:keepNext w:val="0"/>
        <w:keepLines w:val="0"/>
        <w:pageBreakBefore w:val="0"/>
        <w:widowControl w:val="0"/>
        <w:kinsoku/>
        <w:overflowPunct/>
        <w:topLinePunct w:val="0"/>
        <w:bidi w:val="0"/>
        <w:ind w:left="-1"/>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pPr>
        <w:pStyle w:val="31"/>
        <w:keepNext w:val="0"/>
        <w:keepLines w:val="0"/>
        <w:pageBreakBefore w:val="0"/>
        <w:widowControl w:val="0"/>
        <w:kinsoku/>
        <w:overflowPunct/>
        <w:topLinePunct w:val="0"/>
        <w:bidi w:val="0"/>
        <w:spacing w:line="240" w:lineRule="auto"/>
        <w:ind w:left="-1" w:firstLine="420"/>
      </w:pPr>
    </w:p>
    <w:p>
      <w:pPr>
        <w:pStyle w:val="31"/>
        <w:keepNext w:val="0"/>
        <w:keepLines w:val="0"/>
        <w:pageBreakBefore w:val="0"/>
        <w:widowControl w:val="0"/>
        <w:kinsoku/>
        <w:overflowPunct/>
        <w:topLinePunct w:val="0"/>
        <w:bidi w:val="0"/>
        <w:spacing w:line="240" w:lineRule="auto"/>
        <w:ind w:left="-1" w:firstLine="420"/>
      </w:pPr>
    </w:p>
    <w:p>
      <w:pPr>
        <w:pStyle w:val="31"/>
        <w:keepNext w:val="0"/>
        <w:keepLines w:val="0"/>
        <w:pageBreakBefore w:val="0"/>
        <w:widowControl w:val="0"/>
        <w:kinsoku/>
        <w:overflowPunct/>
        <w:topLinePunct w:val="0"/>
        <w:bidi w:val="0"/>
        <w:spacing w:line="240" w:lineRule="auto"/>
        <w:ind w:left="-1" w:firstLine="420"/>
      </w:pPr>
    </w:p>
    <w:p>
      <w:pPr>
        <w:pStyle w:val="31"/>
        <w:keepNext w:val="0"/>
        <w:keepLines w:val="0"/>
        <w:pageBreakBefore w:val="0"/>
        <w:widowControl w:val="0"/>
        <w:kinsoku/>
        <w:overflowPunct/>
        <w:topLinePunct w:val="0"/>
        <w:bidi w:val="0"/>
        <w:spacing w:line="240" w:lineRule="auto"/>
        <w:ind w:left="-1" w:firstLine="420"/>
      </w:pPr>
    </w:p>
    <w:p>
      <w:pPr>
        <w:pStyle w:val="31"/>
        <w:keepNext w:val="0"/>
        <w:keepLines w:val="0"/>
        <w:pageBreakBefore w:val="0"/>
        <w:widowControl w:val="0"/>
        <w:kinsoku/>
        <w:overflowPunct/>
        <w:topLinePunct w:val="0"/>
        <w:bidi w:val="0"/>
        <w:spacing w:line="240" w:lineRule="auto"/>
        <w:ind w:left="-1" w:firstLine="420"/>
      </w:pPr>
    </w:p>
    <w:p>
      <w:pPr>
        <w:pStyle w:val="31"/>
        <w:keepNext w:val="0"/>
        <w:keepLines w:val="0"/>
        <w:pageBreakBefore w:val="0"/>
        <w:widowControl w:val="0"/>
        <w:kinsoku/>
        <w:overflowPunct/>
        <w:topLinePunct w:val="0"/>
        <w:bidi w:val="0"/>
        <w:spacing w:line="240" w:lineRule="auto"/>
        <w:ind w:left="-1" w:firstLine="420"/>
      </w:pPr>
    </w:p>
    <w:p>
      <w:pPr>
        <w:pStyle w:val="31"/>
        <w:keepNext w:val="0"/>
        <w:keepLines w:val="0"/>
        <w:pageBreakBefore w:val="0"/>
        <w:widowControl w:val="0"/>
        <w:kinsoku/>
        <w:overflowPunct/>
        <w:topLinePunct w:val="0"/>
        <w:bidi w:val="0"/>
        <w:spacing w:line="240" w:lineRule="auto"/>
        <w:ind w:left="-1" w:firstLine="420"/>
      </w:pPr>
    </w:p>
    <w:p>
      <w:pPr>
        <w:pStyle w:val="31"/>
        <w:keepNext w:val="0"/>
        <w:keepLines w:val="0"/>
        <w:pageBreakBefore w:val="0"/>
        <w:widowControl w:val="0"/>
        <w:kinsoku/>
        <w:overflowPunct/>
        <w:topLinePunct w:val="0"/>
        <w:bidi w:val="0"/>
        <w:spacing w:line="240" w:lineRule="auto"/>
        <w:ind w:left="-1" w:firstLine="420"/>
      </w:pPr>
    </w:p>
    <w:p>
      <w:pPr>
        <w:pStyle w:val="31"/>
        <w:keepNext w:val="0"/>
        <w:keepLines w:val="0"/>
        <w:pageBreakBefore w:val="0"/>
        <w:widowControl w:val="0"/>
        <w:kinsoku/>
        <w:overflowPunct/>
        <w:topLinePunct w:val="0"/>
        <w:bidi w:val="0"/>
        <w:spacing w:line="240" w:lineRule="auto"/>
        <w:ind w:left="-1" w:firstLine="420"/>
      </w:pPr>
    </w:p>
    <w:p>
      <w:pPr>
        <w:pStyle w:val="31"/>
        <w:keepNext w:val="0"/>
        <w:keepLines w:val="0"/>
        <w:pageBreakBefore w:val="0"/>
        <w:widowControl w:val="0"/>
        <w:kinsoku/>
        <w:overflowPunct/>
        <w:topLinePunct w:val="0"/>
        <w:bidi w:val="0"/>
        <w:spacing w:line="240" w:lineRule="auto"/>
        <w:ind w:firstLine="0" w:firstLineChars="0"/>
        <w:rPr>
          <w:rFonts w:hint="eastAsia"/>
        </w:rPr>
        <w:sectPr>
          <w:pgSz w:w="11906" w:h="16838"/>
          <w:pgMar w:top="1843" w:right="1797" w:bottom="1440" w:left="1797" w:header="851" w:footer="992" w:gutter="0"/>
          <w:paperSrc w:first="15"/>
          <w:pgBorders>
            <w:top w:val="none" w:sz="0" w:space="0"/>
            <w:left w:val="none" w:sz="0" w:space="0"/>
            <w:bottom w:val="none" w:sz="0" w:space="0"/>
            <w:right w:val="none" w:sz="0" w:space="0"/>
          </w:pgBorders>
          <w:pgNumType w:fmt="numberInDash" w:chapStyle="1"/>
          <w:cols w:space="720" w:num="1"/>
          <w:docGrid w:type="lines" w:linePitch="312" w:charSpace="0"/>
        </w:sectPr>
      </w:pPr>
    </w:p>
    <w:p>
      <w:pPr>
        <w:pStyle w:val="3"/>
        <w:keepNext w:val="0"/>
        <w:keepLines w:val="0"/>
        <w:pageBreakBefore w:val="0"/>
        <w:widowControl w:val="0"/>
        <w:kinsoku/>
        <w:overflowPunct/>
        <w:topLinePunct w:val="0"/>
        <w:bidi w:val="0"/>
        <w:spacing w:line="579" w:lineRule="auto"/>
        <w:jc w:val="center"/>
        <w:rPr>
          <w:rFonts w:ascii="黑体" w:hAnsi="黑体" w:eastAsia="黑体"/>
          <w:bCs w:val="0"/>
          <w:sz w:val="32"/>
          <w:szCs w:val="32"/>
        </w:rPr>
      </w:pPr>
      <w:bookmarkStart w:id="49" w:name="_19、政府采购投标及履约承诺函"/>
      <w:bookmarkEnd w:id="49"/>
      <w:bookmarkStart w:id="50" w:name="_Toc27371"/>
      <w:r>
        <w:rPr>
          <w:rFonts w:ascii="黑体" w:hAnsi="黑体" w:eastAsia="黑体"/>
          <w:bCs w:val="0"/>
          <w:sz w:val="32"/>
          <w:szCs w:val="32"/>
        </w:rPr>
        <w:t>1</w:t>
      </w:r>
      <w:r>
        <w:rPr>
          <w:rFonts w:hint="eastAsia" w:ascii="黑体" w:hAnsi="黑体" w:eastAsia="黑体"/>
          <w:bCs w:val="0"/>
          <w:sz w:val="32"/>
          <w:szCs w:val="32"/>
          <w:lang w:val="en-US" w:eastAsia="zh-CN"/>
        </w:rPr>
        <w:t>5</w:t>
      </w:r>
      <w:r>
        <w:rPr>
          <w:rFonts w:ascii="黑体" w:hAnsi="黑体" w:eastAsia="黑体"/>
          <w:bCs w:val="0"/>
          <w:sz w:val="32"/>
          <w:szCs w:val="32"/>
        </w:rPr>
        <w:t>、政府采购投标及履约承诺函</w:t>
      </w:r>
      <w:bookmarkEnd w:id="50"/>
    </w:p>
    <w:p>
      <w:pPr>
        <w:keepNext w:val="0"/>
        <w:keepLines w:val="0"/>
        <w:pageBreakBefore w:val="0"/>
        <w:widowControl w:val="0"/>
        <w:kinsoku/>
        <w:overflowPunct/>
        <w:topLinePunct w:val="0"/>
        <w:bidi w:val="0"/>
        <w:rPr>
          <w:rFonts w:ascii="宋体" w:hAnsi="宋体" w:cs="宋体"/>
          <w:szCs w:val="21"/>
        </w:rPr>
      </w:pPr>
      <w:r>
        <w:rPr>
          <w:rFonts w:hint="eastAsia" w:ascii="宋体" w:hAnsi="宋体" w:cs="宋体"/>
          <w:szCs w:val="21"/>
        </w:rPr>
        <w:t>深圳市宝安区妇幼保健院：</w:t>
      </w:r>
    </w:p>
    <w:p>
      <w:pPr>
        <w:keepNext w:val="0"/>
        <w:keepLines w:val="0"/>
        <w:pageBreakBefore w:val="0"/>
        <w:widowControl w:val="0"/>
        <w:kinsoku/>
        <w:overflowPunct/>
        <w:topLinePunct w:val="0"/>
        <w:bidi w:val="0"/>
        <w:ind w:firstLine="420" w:firstLineChars="200"/>
        <w:rPr>
          <w:rFonts w:ascii="宋体" w:hAnsi="宋体" w:cs="宋体"/>
          <w:szCs w:val="21"/>
        </w:rPr>
      </w:pPr>
      <w:r>
        <w:rPr>
          <w:rFonts w:hint="eastAsia" w:ascii="宋体" w:hAnsi="宋体" w:cs="宋体"/>
          <w:szCs w:val="21"/>
        </w:rPr>
        <w:t>我单位深知本项目对贵院的重要性和紧迫性，亦了解贵院对廉政建设的相关要求，因此我单位承诺如下：</w:t>
      </w:r>
    </w:p>
    <w:p>
      <w:pPr>
        <w:keepNext w:val="0"/>
        <w:keepLines w:val="0"/>
        <w:pageBreakBefore w:val="0"/>
        <w:widowControl w:val="0"/>
        <w:kinsoku/>
        <w:overflowPunct/>
        <w:topLinePunct w:val="0"/>
        <w:bidi w:val="0"/>
        <w:ind w:firstLine="420" w:firstLineChars="200"/>
        <w:rPr>
          <w:rFonts w:ascii="宋体" w:hAnsi="宋体" w:cs="宋体"/>
          <w:szCs w:val="21"/>
        </w:rPr>
      </w:pPr>
      <w:r>
        <w:rPr>
          <w:rFonts w:hint="eastAsia" w:ascii="宋体" w:hAnsi="宋体" w:cs="宋体"/>
          <w:szCs w:val="21"/>
        </w:rPr>
        <w:t>1.我单位本招标项目所提供的货物或服务未侵犯知识产权。</w:t>
      </w:r>
    </w:p>
    <w:p>
      <w:pPr>
        <w:keepNext w:val="0"/>
        <w:keepLines w:val="0"/>
        <w:pageBreakBefore w:val="0"/>
        <w:widowControl w:val="0"/>
        <w:shd w:val="clear" w:color="auto" w:fill="FFFFFF"/>
        <w:kinsoku/>
        <w:overflowPunct/>
        <w:topLinePunct w:val="0"/>
        <w:bidi w:val="0"/>
        <w:ind w:right="-4" w:firstLine="420" w:firstLineChars="200"/>
        <w:jc w:val="left"/>
        <w:rPr>
          <w:rFonts w:ascii="宋体" w:hAnsi="宋体" w:cs="宋体"/>
          <w:kern w:val="0"/>
          <w:szCs w:val="21"/>
        </w:rPr>
      </w:pPr>
      <w:r>
        <w:rPr>
          <w:rFonts w:hint="eastAsia" w:ascii="宋体" w:hAnsi="宋体" w:cs="宋体"/>
          <w:kern w:val="0"/>
          <w:szCs w:val="21"/>
        </w:rPr>
        <w:t>2</w:t>
      </w:r>
      <w:r>
        <w:rPr>
          <w:rFonts w:hint="eastAsia" w:ascii="宋体" w:hAnsi="宋体" w:cs="宋体"/>
          <w:szCs w:val="21"/>
        </w:rPr>
        <w:t>.我单位</w:t>
      </w:r>
      <w:r>
        <w:rPr>
          <w:rFonts w:hint="eastAsia" w:ascii="宋体" w:hAnsi="宋体" w:cs="宋体"/>
          <w:kern w:val="0"/>
          <w:szCs w:val="21"/>
        </w:rPr>
        <w:t>及其法定代表人参与政府采购项目投标近三年内（投标人成立不足三年的可从成立之日起算）在经营活动中没有重大违法记录；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keepNext w:val="0"/>
        <w:keepLines w:val="0"/>
        <w:pageBreakBefore w:val="0"/>
        <w:widowControl w:val="0"/>
        <w:shd w:val="clear" w:color="auto" w:fill="FFFFFF"/>
        <w:kinsoku/>
        <w:overflowPunct/>
        <w:topLinePunct w:val="0"/>
        <w:bidi w:val="0"/>
        <w:ind w:right="-4" w:firstLine="420" w:firstLineChars="200"/>
        <w:jc w:val="left"/>
        <w:rPr>
          <w:rFonts w:ascii="宋体" w:hAnsi="宋体" w:cs="宋体"/>
          <w:kern w:val="0"/>
          <w:szCs w:val="21"/>
        </w:rPr>
      </w:pPr>
      <w:r>
        <w:rPr>
          <w:rFonts w:hint="eastAsia" w:ascii="宋体" w:hAnsi="宋体"/>
          <w:kern w:val="0"/>
          <w:szCs w:val="21"/>
        </w:rPr>
        <w:t>3</w:t>
      </w:r>
      <w:r>
        <w:rPr>
          <w:rFonts w:hint="eastAsia" w:ascii="宋体" w:hAnsi="宋体" w:cs="宋体"/>
          <w:szCs w:val="21"/>
        </w:rPr>
        <w:t>.我单位</w:t>
      </w:r>
      <w:r>
        <w:rPr>
          <w:rFonts w:hint="eastAsia" w:ascii="宋体" w:hAnsi="宋体" w:cs="宋体"/>
          <w:kern w:val="0"/>
          <w:szCs w:val="21"/>
        </w:rPr>
        <w:t>及其法定代表人近三年内（投标人成立不足三年的可从成立之日起算）无行贿犯罪记录；</w:t>
      </w:r>
    </w:p>
    <w:p>
      <w:pPr>
        <w:keepNext w:val="0"/>
        <w:keepLines w:val="0"/>
        <w:pageBreakBefore w:val="0"/>
        <w:widowControl w:val="0"/>
        <w:kinsoku/>
        <w:overflowPunct/>
        <w:topLinePunct w:val="0"/>
        <w:bidi w:val="0"/>
        <w:ind w:firstLine="420" w:firstLineChars="200"/>
        <w:rPr>
          <w:rFonts w:ascii="宋体" w:hAnsi="宋体" w:cs="宋体"/>
          <w:szCs w:val="21"/>
        </w:rPr>
      </w:pPr>
      <w:r>
        <w:rPr>
          <w:rFonts w:hint="eastAsia" w:ascii="宋体" w:hAnsi="宋体" w:cs="宋体"/>
          <w:szCs w:val="21"/>
        </w:rPr>
        <w:t>4.我单位具备《中华人民共和国政府采购法》第二十二条第一款的条件。</w:t>
      </w:r>
    </w:p>
    <w:p>
      <w:pPr>
        <w:keepNext w:val="0"/>
        <w:keepLines w:val="0"/>
        <w:pageBreakBefore w:val="0"/>
        <w:widowControl w:val="0"/>
        <w:kinsoku/>
        <w:overflowPunct/>
        <w:topLinePunct w:val="0"/>
        <w:bidi w:val="0"/>
        <w:ind w:firstLine="420" w:firstLineChars="200"/>
        <w:rPr>
          <w:rFonts w:ascii="宋体" w:hAnsi="宋体" w:cs="宋体"/>
          <w:szCs w:val="21"/>
        </w:rPr>
      </w:pPr>
      <w:r>
        <w:rPr>
          <w:rFonts w:hint="eastAsia" w:ascii="宋体" w:hAnsi="宋体" w:cs="宋体"/>
          <w:szCs w:val="21"/>
        </w:rPr>
        <w:t>5.</w:t>
      </w:r>
      <w:r>
        <w:rPr>
          <w:rFonts w:hint="eastAsia" w:ascii="宋体" w:hAnsi="宋体" w:cs="宋体"/>
          <w:kern w:val="0"/>
          <w:szCs w:val="21"/>
          <w:lang w:bidi="ar"/>
        </w:rPr>
        <w:t>符合财政部和深圳市财政局关于诚信管理的要求，</w:t>
      </w:r>
      <w:r>
        <w:rPr>
          <w:rFonts w:hint="eastAsia" w:ascii="宋体" w:hAnsi="宋体" w:cs="宋体"/>
          <w:kern w:val="0"/>
          <w:szCs w:val="21"/>
        </w:rPr>
        <w:t>至投标截止时间，我单位未有在“信用中国”网（</w:t>
      </w:r>
      <w:r>
        <w:rPr>
          <w:rFonts w:hint="eastAsia" w:ascii="宋体" w:hAnsi="宋体"/>
          <w:kern w:val="0"/>
          <w:szCs w:val="21"/>
        </w:rPr>
        <w:t>www.creditchina.gov.cn</w:t>
      </w:r>
      <w:r>
        <w:rPr>
          <w:rFonts w:hint="eastAsia" w:ascii="宋体" w:hAnsi="宋体" w:cs="宋体"/>
          <w:kern w:val="0"/>
          <w:szCs w:val="21"/>
        </w:rPr>
        <w:t>）、中国政府采购网（</w:t>
      </w:r>
      <w:r>
        <w:rPr>
          <w:rFonts w:hint="eastAsia" w:ascii="宋体" w:hAnsi="宋体"/>
          <w:kern w:val="0"/>
          <w:szCs w:val="21"/>
        </w:rPr>
        <w:t>www.ccgp.gov.cn</w:t>
      </w:r>
      <w:r>
        <w:rPr>
          <w:rFonts w:hint="eastAsia" w:ascii="宋体" w:hAnsi="宋体" w:cs="宋体"/>
          <w:kern w:val="0"/>
          <w:szCs w:val="21"/>
        </w:rPr>
        <w:t>）、深圳市政府采购监督管理网（</w:t>
      </w:r>
      <w:r>
        <w:rPr>
          <w:rFonts w:hint="eastAsia" w:ascii="宋体" w:hAnsi="宋体"/>
          <w:kern w:val="0"/>
          <w:szCs w:val="21"/>
        </w:rPr>
        <w:t>www.zfcg.sz.gov.cn</w:t>
      </w:r>
      <w:r>
        <w:rPr>
          <w:rFonts w:hint="eastAsia" w:ascii="宋体" w:hAnsi="宋体" w:cs="宋体"/>
          <w:kern w:val="0"/>
          <w:szCs w:val="21"/>
        </w:rPr>
        <w:t>）、深圳市政府采购网（</w:t>
      </w:r>
      <w:r>
        <w:rPr>
          <w:rFonts w:hint="eastAsia" w:ascii="宋体" w:hAnsi="宋体"/>
          <w:kern w:val="0"/>
          <w:szCs w:val="21"/>
        </w:rPr>
        <w:t>www.cgzx.sz.gov.cn</w:t>
      </w:r>
      <w:r>
        <w:rPr>
          <w:rFonts w:hint="eastAsia" w:ascii="宋体" w:hAnsi="宋体" w:cs="宋体"/>
          <w:kern w:val="0"/>
          <w:szCs w:val="21"/>
        </w:rPr>
        <w:t>）和“国家企业信用信息公示系统（</w:t>
      </w:r>
      <w:r>
        <w:rPr>
          <w:rFonts w:hint="eastAsia" w:ascii="宋体" w:hAnsi="宋体"/>
          <w:kern w:val="0"/>
          <w:szCs w:val="21"/>
        </w:rPr>
        <w:t>www.gsxt.gov.cn</w:t>
      </w:r>
      <w:r>
        <w:rPr>
          <w:rFonts w:hint="eastAsia" w:ascii="宋体" w:hAnsi="宋体" w:cs="宋体"/>
          <w:kern w:val="0"/>
          <w:szCs w:val="21"/>
        </w:rPr>
        <w:t>）等</w:t>
      </w:r>
      <w:r>
        <w:rPr>
          <w:rFonts w:hint="eastAsia" w:ascii="宋体" w:hAnsi="宋体"/>
          <w:kern w:val="0"/>
          <w:szCs w:val="21"/>
        </w:rPr>
        <w:t>5</w:t>
      </w:r>
      <w:r>
        <w:rPr>
          <w:rFonts w:hint="eastAsia" w:ascii="宋体" w:hAnsi="宋体" w:cs="宋体"/>
          <w:kern w:val="0"/>
          <w:szCs w:val="21"/>
        </w:rPr>
        <w:t>个官网中列入“失信被执行人、重大税收违法案件当事人名单、政府采购严重违法失信行为记录名单”</w:t>
      </w:r>
      <w:r>
        <w:rPr>
          <w:rFonts w:hint="eastAsia" w:ascii="宋体" w:hAnsi="宋体" w:cs="宋体"/>
          <w:szCs w:val="21"/>
        </w:rPr>
        <w:t>。</w:t>
      </w:r>
    </w:p>
    <w:p>
      <w:pPr>
        <w:keepNext w:val="0"/>
        <w:keepLines w:val="0"/>
        <w:pageBreakBefore w:val="0"/>
        <w:widowControl w:val="0"/>
        <w:kinsoku/>
        <w:overflowPunct/>
        <w:topLinePunct w:val="0"/>
        <w:bidi w:val="0"/>
        <w:ind w:firstLine="420" w:firstLineChars="200"/>
        <w:rPr>
          <w:rFonts w:ascii="宋体" w:hAnsi="宋体" w:cs="宋体"/>
          <w:szCs w:val="21"/>
        </w:rPr>
      </w:pPr>
      <w:r>
        <w:rPr>
          <w:rFonts w:hint="eastAsia" w:ascii="宋体" w:hAnsi="宋体" w:cs="宋体"/>
          <w:szCs w:val="21"/>
        </w:rPr>
        <w:t>6.我单位参与该项目投标，严格遵循公平竞争的原则，不恶意串通，不妨碍其他投标人的竞争行为，不损害采购人或者其他投标人的合法权益。我单位已清楚，如违反上述要求，将作投标无效处理，并自动放弃贵院自本项目起所有采购项目的投标事宜。</w:t>
      </w:r>
    </w:p>
    <w:p>
      <w:pPr>
        <w:keepNext w:val="0"/>
        <w:keepLines w:val="0"/>
        <w:pageBreakBefore w:val="0"/>
        <w:widowControl w:val="0"/>
        <w:kinsoku/>
        <w:overflowPunct/>
        <w:topLinePunct w:val="0"/>
        <w:bidi w:val="0"/>
        <w:ind w:firstLine="420" w:firstLineChars="200"/>
        <w:rPr>
          <w:rFonts w:ascii="宋体" w:hAnsi="宋体" w:cs="宋体"/>
          <w:szCs w:val="21"/>
        </w:rPr>
      </w:pPr>
      <w:r>
        <w:rPr>
          <w:rFonts w:hint="eastAsia" w:ascii="宋体" w:hAnsi="宋体" w:cs="宋体"/>
          <w:szCs w:val="21"/>
        </w:rPr>
        <w:t>7.我单位如果中标，做到诚实守信，依照本项目招标文件需求内容、签署的采购合同及本单位在投标中所作的一切承诺履约；不非法转包、分包。</w:t>
      </w:r>
    </w:p>
    <w:p>
      <w:pPr>
        <w:keepNext w:val="0"/>
        <w:keepLines w:val="0"/>
        <w:pageBreakBefore w:val="0"/>
        <w:widowControl w:val="0"/>
        <w:kinsoku/>
        <w:overflowPunct/>
        <w:topLinePunct w:val="0"/>
        <w:bidi w:val="0"/>
        <w:ind w:firstLine="420" w:firstLineChars="200"/>
        <w:rPr>
          <w:rFonts w:ascii="宋体" w:hAnsi="宋体" w:cs="宋体"/>
          <w:szCs w:val="21"/>
        </w:rPr>
      </w:pPr>
      <w:r>
        <w:rPr>
          <w:rFonts w:hint="eastAsia" w:ascii="宋体" w:hAnsi="宋体" w:cs="宋体"/>
          <w:szCs w:val="21"/>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pageBreakBefore w:val="0"/>
        <w:widowControl w:val="0"/>
        <w:kinsoku/>
        <w:overflowPunct/>
        <w:topLinePunct w:val="0"/>
        <w:bidi w:val="0"/>
        <w:ind w:firstLine="420" w:firstLineChars="200"/>
        <w:rPr>
          <w:rFonts w:ascii="宋体" w:hAnsi="宋体" w:cs="宋体"/>
          <w:szCs w:val="21"/>
        </w:rPr>
      </w:pPr>
      <w:r>
        <w:rPr>
          <w:rFonts w:hint="eastAsia" w:ascii="宋体" w:hAnsi="宋体" w:cs="宋体"/>
          <w:szCs w:val="21"/>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keepNext w:val="0"/>
        <w:keepLines w:val="0"/>
        <w:pageBreakBefore w:val="0"/>
        <w:widowControl w:val="0"/>
        <w:kinsoku/>
        <w:overflowPunct/>
        <w:topLinePunct w:val="0"/>
        <w:bidi w:val="0"/>
        <w:ind w:firstLine="420" w:firstLineChars="200"/>
        <w:rPr>
          <w:rFonts w:ascii="宋体" w:hAnsi="宋体" w:cs="宋体"/>
          <w:szCs w:val="21"/>
        </w:rPr>
      </w:pPr>
      <w:r>
        <w:rPr>
          <w:rFonts w:hint="eastAsia" w:ascii="宋体" w:hAnsi="宋体" w:cs="宋体"/>
          <w:szCs w:val="21"/>
        </w:rPr>
        <w:t>10.我单位承诺未参与本项目的采购需求、技术指标、商务指标等内容的设定，不存在对其他投标单位不公平的行为。</w:t>
      </w:r>
    </w:p>
    <w:p>
      <w:pPr>
        <w:keepNext w:val="0"/>
        <w:keepLines w:val="0"/>
        <w:pageBreakBefore w:val="0"/>
        <w:widowControl w:val="0"/>
        <w:kinsoku/>
        <w:overflowPunct/>
        <w:topLinePunct w:val="0"/>
        <w:bidi w:val="0"/>
        <w:ind w:firstLine="420" w:firstLineChars="200"/>
        <w:rPr>
          <w:rFonts w:ascii="宋体" w:hAnsi="宋体" w:cs="宋体"/>
          <w:szCs w:val="21"/>
        </w:rPr>
      </w:pPr>
      <w:r>
        <w:rPr>
          <w:rFonts w:hint="eastAsia" w:ascii="宋体" w:hAnsi="宋体" w:cs="宋体"/>
          <w:szCs w:val="21"/>
        </w:rPr>
        <w:t>11.我单位承诺严格遵守贵院廉政建设的相关要求，不对采购人进行贿赂，进行有偿报答；不对采购人进行任何形式的利益输送；不对采购人进行宴请和娱乐等消费活动；不对采购人进行赠送各种礼品、现金、有价证券、中介费、好处费等行为。</w:t>
      </w:r>
    </w:p>
    <w:p>
      <w:pPr>
        <w:keepNext w:val="0"/>
        <w:keepLines w:val="0"/>
        <w:pageBreakBefore w:val="0"/>
        <w:widowControl w:val="0"/>
        <w:kinsoku/>
        <w:overflowPunct/>
        <w:topLinePunct w:val="0"/>
        <w:bidi w:val="0"/>
        <w:ind w:firstLine="420" w:firstLineChars="200"/>
        <w:rPr>
          <w:rFonts w:ascii="宋体" w:hAnsi="宋体" w:cs="宋体"/>
          <w:szCs w:val="21"/>
        </w:rPr>
      </w:pPr>
      <w:r>
        <w:rPr>
          <w:rFonts w:hint="eastAsia" w:ascii="宋体" w:hAnsi="宋体" w:cs="宋体"/>
          <w:szCs w:val="21"/>
        </w:rPr>
        <w:t>以上承诺，如有违反，愿依照国家相关法律处理，并承担由此给采购人带来的损失。</w:t>
      </w:r>
    </w:p>
    <w:p>
      <w:pPr>
        <w:keepNext w:val="0"/>
        <w:keepLines w:val="0"/>
        <w:pageBreakBefore w:val="0"/>
        <w:widowControl w:val="0"/>
        <w:kinsoku/>
        <w:overflowPunct/>
        <w:topLinePunct w:val="0"/>
        <w:bidi w:val="0"/>
        <w:ind w:firstLine="420" w:firstLineChars="200"/>
        <w:rPr>
          <w:rFonts w:ascii="宋体" w:hAnsi="宋体" w:cs="宋体"/>
          <w:szCs w:val="21"/>
        </w:rPr>
      </w:pPr>
    </w:p>
    <w:p>
      <w:pPr>
        <w:keepNext w:val="0"/>
        <w:keepLines w:val="0"/>
        <w:pageBreakBefore w:val="0"/>
        <w:widowControl w:val="0"/>
        <w:tabs>
          <w:tab w:val="left" w:pos="4860"/>
        </w:tabs>
        <w:kinsoku/>
        <w:overflowPunct/>
        <w:topLinePunct w:val="0"/>
        <w:bidi w:val="0"/>
        <w:adjustRightInd w:val="0"/>
        <w:snapToGrid w:val="0"/>
        <w:ind w:right="105" w:rightChars="50" w:firstLine="210" w:firstLineChars="100"/>
        <w:rPr>
          <w:rFonts w:ascii="宋体" w:hAnsi="宋体"/>
          <w:szCs w:val="21"/>
        </w:rPr>
      </w:pPr>
      <w:r>
        <w:rPr>
          <w:rFonts w:hint="eastAsia" w:ascii="宋体" w:hAnsi="宋体"/>
          <w:szCs w:val="21"/>
        </w:rPr>
        <w:t>法定代表人或授权代表（签字）：                  供应商（盖章）：</w:t>
      </w:r>
    </w:p>
    <w:p>
      <w:pPr>
        <w:keepNext w:val="0"/>
        <w:keepLines w:val="0"/>
        <w:pageBreakBefore w:val="0"/>
        <w:widowControl w:val="0"/>
        <w:tabs>
          <w:tab w:val="left" w:pos="4860"/>
        </w:tabs>
        <w:kinsoku/>
        <w:overflowPunct/>
        <w:topLinePunct w:val="0"/>
        <w:bidi w:val="0"/>
        <w:adjustRightInd w:val="0"/>
        <w:snapToGrid w:val="0"/>
        <w:ind w:right="105" w:rightChars="50" w:firstLine="735" w:firstLineChars="350"/>
        <w:rPr>
          <w:rFonts w:ascii="宋体" w:hAnsi="宋体"/>
          <w:szCs w:val="21"/>
        </w:rPr>
      </w:pPr>
      <w:r>
        <w:rPr>
          <w:rFonts w:hint="eastAsia" w:ascii="宋体" w:hAnsi="宋体"/>
          <w:szCs w:val="21"/>
        </w:rPr>
        <w:t>日期：   年  月   日                    日期：   年  月   日</w:t>
      </w:r>
    </w:p>
    <w:p>
      <w:pPr>
        <w:keepNext w:val="0"/>
        <w:keepLines w:val="0"/>
        <w:pageBreakBefore w:val="0"/>
        <w:widowControl w:val="0"/>
        <w:tabs>
          <w:tab w:val="left" w:pos="4860"/>
        </w:tabs>
        <w:kinsoku/>
        <w:overflowPunct/>
        <w:topLinePunct w:val="0"/>
        <w:bidi w:val="0"/>
        <w:adjustRightInd w:val="0"/>
        <w:snapToGrid w:val="0"/>
        <w:spacing w:line="360" w:lineRule="auto"/>
        <w:ind w:right="105" w:rightChars="50"/>
        <w:rPr>
          <w:rFonts w:ascii="宋体" w:hAnsi="宋体"/>
          <w:color w:val="FF0000"/>
          <w:szCs w:val="21"/>
        </w:rPr>
      </w:pPr>
      <w:r>
        <w:rPr>
          <w:rFonts w:hint="eastAsia" w:ascii="宋体" w:hAnsi="宋体"/>
          <w:color w:val="FF0000"/>
          <w:szCs w:val="21"/>
        </w:rPr>
        <w:t>注：本承诺函必须提供且内容不得擅自删改</w:t>
      </w:r>
    </w:p>
    <w:p>
      <w:pPr>
        <w:pStyle w:val="31"/>
        <w:keepNext w:val="0"/>
        <w:keepLines w:val="0"/>
        <w:pageBreakBefore w:val="0"/>
        <w:widowControl w:val="0"/>
        <w:kinsoku/>
        <w:overflowPunct/>
        <w:topLinePunct w:val="0"/>
        <w:bidi w:val="0"/>
        <w:ind w:left="-1" w:firstLine="420"/>
        <w:sectPr>
          <w:pgSz w:w="11906" w:h="16838"/>
          <w:pgMar w:top="426" w:right="1797" w:bottom="284" w:left="1797" w:header="851" w:footer="992" w:gutter="0"/>
          <w:paperSrc w:first="15"/>
          <w:pgBorders>
            <w:top w:val="none" w:sz="0" w:space="0"/>
            <w:left w:val="none" w:sz="0" w:space="0"/>
            <w:bottom w:val="none" w:sz="0" w:space="0"/>
            <w:right w:val="none" w:sz="0" w:space="0"/>
          </w:pgBorders>
          <w:pgNumType w:fmt="numberInDash" w:chapStyle="1"/>
          <w:cols w:space="720" w:num="1"/>
          <w:docGrid w:type="lines" w:linePitch="312" w:charSpace="0"/>
        </w:sectPr>
      </w:pPr>
    </w:p>
    <w:p>
      <w:pPr>
        <w:pStyle w:val="3"/>
        <w:keepNext w:val="0"/>
        <w:keepLines w:val="0"/>
        <w:pageBreakBefore w:val="0"/>
        <w:widowControl w:val="0"/>
        <w:kinsoku/>
        <w:overflowPunct/>
        <w:topLinePunct w:val="0"/>
        <w:bidi w:val="0"/>
        <w:spacing w:line="579" w:lineRule="auto"/>
        <w:jc w:val="center"/>
        <w:rPr>
          <w:rFonts w:ascii="黑体" w:hAnsi="黑体" w:eastAsia="黑体"/>
          <w:bCs w:val="0"/>
          <w:sz w:val="32"/>
          <w:szCs w:val="32"/>
        </w:rPr>
      </w:pPr>
      <w:bookmarkStart w:id="51" w:name="_Toc1234"/>
      <w:r>
        <w:rPr>
          <w:rFonts w:hint="eastAsia" w:ascii="黑体" w:hAnsi="黑体" w:eastAsia="黑体"/>
          <w:bCs w:val="0"/>
          <w:sz w:val="32"/>
          <w:szCs w:val="32"/>
        </w:rPr>
        <w:t>1</w:t>
      </w:r>
      <w:r>
        <w:rPr>
          <w:rFonts w:hint="eastAsia" w:ascii="黑体" w:hAnsi="黑体" w:eastAsia="黑体"/>
          <w:bCs w:val="0"/>
          <w:sz w:val="32"/>
          <w:szCs w:val="32"/>
          <w:lang w:val="en-US" w:eastAsia="zh-CN"/>
        </w:rPr>
        <w:t>6</w:t>
      </w:r>
      <w:r>
        <w:rPr>
          <w:rFonts w:hint="eastAsia" w:ascii="黑体" w:hAnsi="黑体" w:eastAsia="黑体"/>
          <w:bCs w:val="0"/>
          <w:sz w:val="32"/>
          <w:szCs w:val="32"/>
        </w:rPr>
        <w:t>、参数偏离表</w:t>
      </w:r>
      <w:bookmarkEnd w:id="51"/>
    </w:p>
    <w:p>
      <w:pPr>
        <w:keepNext w:val="0"/>
        <w:keepLines w:val="0"/>
        <w:pageBreakBefore w:val="0"/>
        <w:widowControl w:val="0"/>
        <w:kinsoku/>
        <w:overflowPunct/>
        <w:topLinePunct w:val="0"/>
        <w:bidi w:val="0"/>
        <w:ind w:firstLine="420" w:firstLineChars="200"/>
        <w:rPr>
          <w:rFonts w:ascii="宋体" w:hAnsi="宋体"/>
          <w:szCs w:val="21"/>
        </w:rPr>
      </w:pPr>
      <w:r>
        <w:rPr>
          <w:rFonts w:hint="eastAsia" w:ascii="宋体" w:hAnsi="宋体"/>
          <w:szCs w:val="21"/>
        </w:rPr>
        <w:t>为方便参与该项目的评标专家的评标，快速找到评标事项与该项目投标文件所对应的位置，请投标人按照招标文件规定的评分内容（评标方法和程序中所列的综合评分表），自上而下的顺序填写本表。因项目次序混乱而影响评标结果者，投标人自负其责。</w:t>
      </w:r>
    </w:p>
    <w:p>
      <w:pPr>
        <w:keepNext w:val="0"/>
        <w:keepLines w:val="0"/>
        <w:pageBreakBefore w:val="0"/>
        <w:widowControl w:val="0"/>
        <w:kinsoku/>
        <w:overflowPunct/>
        <w:topLinePunct w:val="0"/>
        <w:bidi w:val="0"/>
        <w:ind w:firstLine="422" w:firstLineChars="200"/>
        <w:rPr>
          <w:rFonts w:hint="eastAsia" w:ascii="宋体" w:hAnsi="宋体"/>
          <w:b/>
          <w:bCs/>
          <w:szCs w:val="21"/>
        </w:rPr>
      </w:pPr>
      <w:r>
        <w:rPr>
          <w:rFonts w:hint="eastAsia" w:ascii="宋体" w:hAnsi="宋体"/>
          <w:b/>
          <w:bCs/>
          <w:szCs w:val="21"/>
        </w:rPr>
        <w:t>注：投标实际参数，投标人应按实际数据如实填写，不能照抄招标要求。</w:t>
      </w:r>
    </w:p>
    <w:tbl>
      <w:tblPr>
        <w:tblStyle w:val="28"/>
        <w:tblW w:w="10845" w:type="dxa"/>
        <w:jc w:val="center"/>
        <w:tblInd w:w="-28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75"/>
        <w:gridCol w:w="819"/>
        <w:gridCol w:w="6556"/>
        <w:gridCol w:w="723"/>
        <w:gridCol w:w="723"/>
        <w:gridCol w:w="723"/>
        <w:gridCol w:w="7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1" w:hRule="atLeast"/>
          <w:jc w:val="center"/>
        </w:trPr>
        <w:tc>
          <w:tcPr>
            <w:tcW w:w="10845" w:type="dxa"/>
            <w:gridSpan w:val="7"/>
            <w:tcBorders>
              <w:tl2br w:val="nil"/>
              <w:tr2bl w:val="nil"/>
            </w:tcBorders>
            <w:tcMar>
              <w:top w:w="15" w:type="dxa"/>
              <w:left w:w="15" w:type="dxa"/>
              <w:bottom w:w="0" w:type="dxa"/>
              <w:right w:w="15" w:type="dxa"/>
            </w:tcMar>
            <w:vAlign w:val="center"/>
          </w:tcPr>
          <w:p>
            <w:pPr>
              <w:widowControl/>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技术部分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575" w:type="dxa"/>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b/>
                <w:bCs/>
                <w:color w:val="000000"/>
                <w:sz w:val="21"/>
                <w:szCs w:val="21"/>
                <w:lang w:val="en-US" w:eastAsia="zh-CN" w:bidi="ar"/>
              </w:rPr>
            </w:pPr>
            <w:r>
              <w:rPr>
                <w:rFonts w:hint="eastAsia" w:ascii="宋体" w:hAnsi="宋体" w:eastAsia="宋体" w:cs="宋体"/>
                <w:b/>
                <w:bCs/>
                <w:color w:val="000000"/>
                <w:sz w:val="21"/>
                <w:szCs w:val="21"/>
                <w:lang w:val="en-US" w:eastAsia="zh-CN" w:bidi="ar"/>
              </w:rPr>
              <w:t>项目名称</w:t>
            </w:r>
          </w:p>
        </w:tc>
        <w:tc>
          <w:tcPr>
            <w:tcW w:w="819" w:type="dxa"/>
            <w:tcBorders>
              <w:tl2br w:val="nil"/>
              <w:tr2bl w:val="nil"/>
            </w:tcBorders>
            <w:tcMar>
              <w:top w:w="15" w:type="dxa"/>
              <w:left w:w="15" w:type="dxa"/>
              <w:bottom w:w="0" w:type="dxa"/>
              <w:right w:w="15" w:type="dxa"/>
            </w:tcMar>
            <w:vAlign w:val="center"/>
          </w:tcPr>
          <w:p>
            <w:pPr>
              <w:widowControl/>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需求</w:t>
            </w:r>
          </w:p>
          <w:p>
            <w:pPr>
              <w:widowControl/>
              <w:jc w:val="center"/>
              <w:textAlignment w:val="center"/>
              <w:rPr>
                <w:rFonts w:hint="eastAsia" w:ascii="宋体" w:hAnsi="宋体" w:cs="宋体"/>
                <w:b/>
                <w:bCs/>
                <w:color w:val="000000"/>
                <w:sz w:val="21"/>
                <w:szCs w:val="21"/>
                <w:lang w:val="en-US" w:eastAsia="zh-CN"/>
              </w:rPr>
            </w:pPr>
            <w:r>
              <w:rPr>
                <w:rFonts w:hint="eastAsia" w:ascii="宋体" w:hAnsi="宋体" w:eastAsia="宋体" w:cs="宋体"/>
                <w:b/>
                <w:bCs/>
                <w:color w:val="000000"/>
                <w:sz w:val="21"/>
                <w:szCs w:val="21"/>
                <w:lang w:val="en-US" w:eastAsia="zh-CN"/>
              </w:rPr>
              <w:t>内容</w:t>
            </w:r>
          </w:p>
        </w:tc>
        <w:tc>
          <w:tcPr>
            <w:tcW w:w="6556" w:type="dxa"/>
            <w:tcBorders>
              <w:tl2br w:val="nil"/>
              <w:tr2bl w:val="nil"/>
            </w:tcBorders>
            <w:tcMar>
              <w:top w:w="15" w:type="dxa"/>
              <w:left w:w="15" w:type="dxa"/>
              <w:bottom w:w="0" w:type="dxa"/>
              <w:right w:w="15" w:type="dxa"/>
            </w:tcMar>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技术参数和性能要求</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bCs/>
                <w:color w:val="000000"/>
                <w:sz w:val="21"/>
                <w:szCs w:val="21"/>
              </w:rPr>
            </w:pPr>
            <w:r>
              <w:rPr>
                <w:rFonts w:hint="eastAsia" w:ascii="宋体" w:hAnsi="宋体" w:cs="宋体"/>
                <w:b/>
                <w:bCs/>
                <w:color w:val="000000"/>
                <w:sz w:val="21"/>
                <w:szCs w:val="21"/>
              </w:rPr>
              <w:t>投标实际参数</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cs="宋体"/>
                <w:b/>
                <w:bCs/>
                <w:color w:val="000000"/>
                <w:sz w:val="21"/>
                <w:szCs w:val="21"/>
              </w:rPr>
            </w:pPr>
            <w:r>
              <w:rPr>
                <w:rFonts w:hint="eastAsia" w:ascii="宋体" w:hAnsi="宋体" w:cs="宋体"/>
                <w:b/>
                <w:bCs/>
                <w:color w:val="000000"/>
                <w:sz w:val="21"/>
                <w:szCs w:val="21"/>
              </w:rPr>
              <w:t>是否</w:t>
            </w:r>
          </w:p>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bCs/>
                <w:color w:val="000000"/>
                <w:sz w:val="21"/>
                <w:szCs w:val="21"/>
              </w:rPr>
            </w:pPr>
            <w:r>
              <w:rPr>
                <w:rFonts w:hint="eastAsia" w:ascii="宋体" w:hAnsi="宋体" w:cs="宋体"/>
                <w:b/>
                <w:bCs/>
                <w:color w:val="000000"/>
                <w:sz w:val="21"/>
                <w:szCs w:val="21"/>
              </w:rPr>
              <w:t>偏离</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cs="宋体"/>
                <w:b/>
                <w:bCs/>
                <w:color w:val="000000"/>
                <w:sz w:val="21"/>
                <w:szCs w:val="21"/>
              </w:rPr>
            </w:pPr>
            <w:r>
              <w:rPr>
                <w:rFonts w:hint="eastAsia" w:ascii="宋体" w:hAnsi="宋体" w:cs="宋体"/>
                <w:b/>
                <w:bCs/>
                <w:color w:val="000000"/>
                <w:sz w:val="21"/>
                <w:szCs w:val="21"/>
              </w:rPr>
              <w:t>偏离</w:t>
            </w:r>
          </w:p>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bCs/>
                <w:color w:val="000000"/>
                <w:sz w:val="21"/>
                <w:szCs w:val="21"/>
              </w:rPr>
            </w:pPr>
            <w:r>
              <w:rPr>
                <w:rFonts w:hint="eastAsia" w:ascii="宋体" w:hAnsi="宋体" w:cs="宋体"/>
                <w:b/>
                <w:bCs/>
                <w:color w:val="000000"/>
                <w:sz w:val="21"/>
                <w:szCs w:val="21"/>
              </w:rPr>
              <w:t>简述</w:t>
            </w: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cs="宋体"/>
                <w:b/>
                <w:bCs/>
                <w:color w:val="000000"/>
                <w:sz w:val="21"/>
                <w:szCs w:val="21"/>
              </w:rPr>
            </w:pPr>
            <w:r>
              <w:rPr>
                <w:rFonts w:hint="eastAsia" w:ascii="宋体" w:hAnsi="宋体" w:cs="宋体"/>
                <w:b/>
                <w:bCs/>
                <w:color w:val="000000"/>
                <w:sz w:val="21"/>
                <w:szCs w:val="21"/>
              </w:rPr>
              <w:t>证明</w:t>
            </w:r>
          </w:p>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bCs/>
                <w:color w:val="000000"/>
                <w:sz w:val="21"/>
                <w:szCs w:val="21"/>
              </w:rPr>
            </w:pPr>
            <w:r>
              <w:rPr>
                <w:rFonts w:hint="eastAsia" w:ascii="宋体" w:hAnsi="宋体" w:cs="宋体"/>
                <w:b/>
                <w:bCs/>
                <w:color w:val="000000"/>
                <w:sz w:val="21"/>
                <w:szCs w:val="21"/>
              </w:rPr>
              <w:t>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575" w:type="dxa"/>
            <w:vMerge w:val="restart"/>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b/>
                <w:bCs/>
                <w:color w:val="000000"/>
                <w:sz w:val="21"/>
                <w:szCs w:val="21"/>
                <w:lang w:eastAsia="zh-CN" w:bidi="ar"/>
              </w:rPr>
            </w:pPr>
            <w:r>
              <w:rPr>
                <w:rFonts w:hint="eastAsia" w:ascii="宋体" w:hAnsi="宋体" w:eastAsia="宋体" w:cs="宋体"/>
                <w:b/>
                <w:bCs/>
                <w:color w:val="000000"/>
                <w:sz w:val="21"/>
                <w:szCs w:val="21"/>
                <w:lang w:eastAsia="zh-CN" w:bidi="ar"/>
              </w:rPr>
              <w:t>短信</w:t>
            </w:r>
          </w:p>
          <w:p>
            <w:pPr>
              <w:widowControl/>
              <w:jc w:val="center"/>
              <w:rPr>
                <w:rFonts w:hint="eastAsia" w:ascii="宋体" w:hAnsi="宋体" w:eastAsia="宋体" w:cs="宋体"/>
                <w:color w:val="000000"/>
                <w:sz w:val="21"/>
                <w:szCs w:val="21"/>
                <w:lang w:eastAsia="zh-CN" w:bidi="ar"/>
              </w:rPr>
            </w:pPr>
            <w:r>
              <w:rPr>
                <w:rFonts w:hint="eastAsia" w:ascii="宋体" w:hAnsi="宋体" w:eastAsia="宋体" w:cs="宋体"/>
                <w:b/>
                <w:bCs/>
                <w:color w:val="000000"/>
                <w:sz w:val="21"/>
                <w:szCs w:val="21"/>
                <w:lang w:eastAsia="zh-CN" w:bidi="ar"/>
              </w:rPr>
              <w:t>服务平台</w:t>
            </w:r>
          </w:p>
        </w:tc>
        <w:tc>
          <w:tcPr>
            <w:tcW w:w="819" w:type="dxa"/>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项目</w:t>
            </w:r>
          </w:p>
          <w:p>
            <w:pPr>
              <w:widowControl/>
              <w:jc w:val="center"/>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介绍</w:t>
            </w: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宝安妇幼医院短信服务主要用于向宝安妇幼网站用户发送短信验证码、通知等内容，现拟对短信服务进行采购。</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both"/>
              <w:textAlignment w:val="center"/>
              <w:rPr>
                <w:rFonts w:hint="eastAsia" w:ascii="宋体" w:hAnsi="宋体" w:eastAsia="宋体" w:cs="宋体"/>
                <w:b w:val="0"/>
                <w:bCs w:val="0"/>
                <w:color w:val="000000"/>
                <w:sz w:val="21"/>
                <w:szCs w:val="21"/>
                <w:lang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both"/>
              <w:textAlignment w:val="center"/>
              <w:rPr>
                <w:rFonts w:hint="eastAsia" w:ascii="宋体" w:hAnsi="宋体" w:eastAsia="宋体" w:cs="宋体"/>
                <w:b w:val="0"/>
                <w:bCs w:val="0"/>
                <w:color w:val="000000"/>
                <w:sz w:val="21"/>
                <w:szCs w:val="21"/>
                <w:lang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both"/>
              <w:textAlignment w:val="center"/>
              <w:rPr>
                <w:rFonts w:hint="eastAsia" w:ascii="宋体" w:hAnsi="宋体" w:eastAsia="宋体" w:cs="宋体"/>
                <w:b w:val="0"/>
                <w:bCs w:val="0"/>
                <w:color w:val="000000"/>
                <w:sz w:val="21"/>
                <w:szCs w:val="21"/>
                <w:lang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restart"/>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短信通道要求</w:t>
            </w: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1.通道须为三网合一短信通道。支持向全国大陆地区的移动用户、联通用户和电信用户发送短信，且接收号码显示均为同一号码。短信通道需为直连网关的独立通道。通道需要支持运营商新增的所有号段下发，要求覆盖全部手机用户。</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2.供应商需提供1个主通道，2个备用通道。对全国手机号发送短信使用的号码长度主通道和备用通道均为专属固定号码，号码长度不得超过12位。为提高辨识度，要求主通道对全国手机号发送短信所使用的号段以1069开头、0388结尾；备用通道对全国手机号发送短信所使用的号段以1069或1068开头、以0388结尾。后期如有变化应根据采购人的需要变更号码。（如为自有通道，需提供有效的《中华人民共和国电信网码号资源使用证书》（证书中“码号资源”号码需与供应商拟投入本项目使用的通道码号一致）复印件并加盖公章；如为租赁通道，需提供租赁合同及被租赁通道的《中华人民共和国电信网码号资源使用证书》复印件并加盖公章。）。</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3.通道应提供上行短信的功能，即手机用户按照供应商发送短信的号码回复短信时，供应商应将短信及时反馈给采购人的短信平台。</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4.供应商在短信运营商的短信通道发送速率合计达3000条/秒以上，日发送量≥100万条；并承诺随着业务的发展，按实际流量的需要对通道的短信发送速率进行扩充</w:t>
            </w:r>
            <w:r>
              <w:rPr>
                <w:rFonts w:hint="eastAsia" w:ascii="宋体" w:hAnsi="宋体" w:eastAsia="宋体" w:cs="宋体"/>
                <w:b w:val="0"/>
                <w:bCs w:val="0"/>
                <w:color w:val="000000"/>
                <w:sz w:val="21"/>
                <w:szCs w:val="21"/>
                <w:lang w:eastAsia="zh-CN"/>
              </w:rPr>
              <w:t>。</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5</w:t>
            </w:r>
            <w:r>
              <w:rPr>
                <w:rFonts w:hint="eastAsia" w:ascii="宋体" w:hAnsi="宋体" w:eastAsia="宋体" w:cs="宋体"/>
                <w:b w:val="0"/>
                <w:bCs w:val="0"/>
                <w:color w:val="000000"/>
                <w:sz w:val="21"/>
                <w:szCs w:val="21"/>
                <w:lang w:eastAsia="zh-CN"/>
              </w:rPr>
              <w:t>.正常无问题的环境下5秒内验证码类短信到达用户手机，10秒内其他短信到达用户手机，短信到达用户手机成功率达到99.9%以上。</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6</w:t>
            </w:r>
            <w:r>
              <w:rPr>
                <w:rFonts w:hint="eastAsia" w:ascii="宋体" w:hAnsi="宋体" w:eastAsia="宋体" w:cs="宋体"/>
                <w:b w:val="0"/>
                <w:bCs w:val="0"/>
                <w:color w:val="000000"/>
                <w:sz w:val="21"/>
                <w:szCs w:val="21"/>
                <w:lang w:eastAsia="zh-CN"/>
              </w:rPr>
              <w:t>.及时反馈短信接收状态报告，状态报告接口可查。具备拉取状态报告接口，该接口允许接入方通过指定条件（如用户手机号码）来查询某条短信是否已成功发送至目标用户手机。</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7</w:t>
            </w:r>
            <w:r>
              <w:rPr>
                <w:rFonts w:hint="eastAsia" w:ascii="宋体" w:hAnsi="宋体" w:eastAsia="宋体" w:cs="宋体"/>
                <w:b w:val="0"/>
                <w:bCs w:val="0"/>
                <w:color w:val="000000"/>
                <w:sz w:val="21"/>
                <w:szCs w:val="21"/>
                <w:lang w:eastAsia="zh-CN"/>
              </w:rPr>
              <w:t>.支持长短信；通道不限制每日群发总次数、每月群发总次数、每日最大发送量、每月最大发送量。</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8</w:t>
            </w:r>
            <w:r>
              <w:rPr>
                <w:rFonts w:hint="eastAsia" w:ascii="宋体" w:hAnsi="宋体" w:eastAsia="宋体" w:cs="宋体"/>
                <w:b w:val="0"/>
                <w:bCs w:val="0"/>
                <w:color w:val="000000"/>
                <w:sz w:val="21"/>
                <w:szCs w:val="21"/>
                <w:lang w:eastAsia="zh-CN"/>
              </w:rPr>
              <w:t>.通道需要支持取消供应商通道及平台关键字拦截功能；支持在线切换通道，保障在通道资源出现异常时，后续提交的短信不受影响，及时从切换后的通道发出。</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9</w:t>
            </w:r>
            <w:r>
              <w:rPr>
                <w:rFonts w:hint="eastAsia" w:ascii="宋体" w:hAnsi="宋体" w:eastAsia="宋体" w:cs="宋体"/>
                <w:b w:val="0"/>
                <w:bCs w:val="0"/>
                <w:color w:val="000000"/>
                <w:sz w:val="21"/>
                <w:szCs w:val="21"/>
                <w:lang w:eastAsia="zh-CN"/>
              </w:rPr>
              <w:t>.支持验证码等短信通道优先发送。</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51"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10.</w:t>
            </w:r>
            <w:r>
              <w:rPr>
                <w:rFonts w:hint="eastAsia" w:ascii="宋体" w:hAnsi="宋体" w:eastAsia="宋体" w:cs="宋体"/>
                <w:b w:val="0"/>
                <w:bCs w:val="0"/>
                <w:color w:val="000000"/>
                <w:sz w:val="21"/>
                <w:szCs w:val="21"/>
                <w:lang w:eastAsia="zh-CN"/>
              </w:rPr>
              <w:t>针对下发短信内容提供模板审核服务，确保短信无违规内容，审核结果返回时间在1小时以内。</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11</w:t>
            </w:r>
            <w:r>
              <w:rPr>
                <w:rFonts w:hint="eastAsia" w:ascii="宋体" w:hAnsi="宋体" w:eastAsia="宋体" w:cs="宋体"/>
                <w:b w:val="0"/>
                <w:bCs w:val="0"/>
                <w:color w:val="000000"/>
                <w:sz w:val="21"/>
                <w:szCs w:val="21"/>
                <w:lang w:eastAsia="zh-CN"/>
              </w:rPr>
              <w:t>.通道不添加供应商的企业签名。由供应商的短信通道下发的短信中，不添加供应商的企业签名，供应商转发的短信内容不变，最终发到短信号码上的短信中只包含从行业网关发来的采购人签名。</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12</w:t>
            </w:r>
            <w:r>
              <w:rPr>
                <w:rFonts w:hint="eastAsia" w:ascii="宋体" w:hAnsi="宋体" w:eastAsia="宋体" w:cs="宋体"/>
                <w:b w:val="0"/>
                <w:bCs w:val="0"/>
                <w:color w:val="000000"/>
                <w:sz w:val="21"/>
                <w:szCs w:val="21"/>
                <w:lang w:eastAsia="zh-CN"/>
              </w:rPr>
              <w:t>.供应商需保证其短信通道和短信通道能力平台的稳定可靠，按照双方约定的性能及功能要求，提供长期稳定的短信发送服务。</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51"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13</w:t>
            </w:r>
            <w:r>
              <w:rPr>
                <w:rFonts w:hint="eastAsia" w:ascii="宋体" w:hAnsi="宋体" w:eastAsia="宋体" w:cs="宋体"/>
                <w:b w:val="0"/>
                <w:bCs w:val="0"/>
                <w:color w:val="000000"/>
                <w:sz w:val="21"/>
                <w:szCs w:val="21"/>
                <w:lang w:eastAsia="zh-CN"/>
              </w:rPr>
              <w:t>..供应商应提供为发送短信而必备的专线或者提供互联网接口，并不因此再收取采购人任何线路使用费、线路调试和测试费用、线路线材设备费用等。</w:t>
            </w:r>
          </w:p>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按短信发送成功计费，失败短信不计费。</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1"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14</w:t>
            </w:r>
            <w:r>
              <w:rPr>
                <w:rFonts w:hint="eastAsia" w:ascii="宋体" w:hAnsi="宋体" w:eastAsia="宋体" w:cs="宋体"/>
                <w:b w:val="0"/>
                <w:bCs w:val="0"/>
                <w:color w:val="000000"/>
                <w:sz w:val="21"/>
                <w:szCs w:val="21"/>
                <w:lang w:eastAsia="zh-CN"/>
              </w:rPr>
              <w:t>.供应商应对采购人发送的短信数据进行安全保证，即供应商在未获得采购人许可的前提下，不得以任何方式将短信收发数据提供给第三方。</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restart"/>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技术</w:t>
            </w:r>
          </w:p>
          <w:p>
            <w:pPr>
              <w:widowControl/>
              <w:jc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要求</w:t>
            </w: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1</w:t>
            </w:r>
            <w:r>
              <w:rPr>
                <w:rFonts w:hint="eastAsia" w:ascii="宋体" w:hAnsi="宋体" w:eastAsia="宋体" w:cs="宋体"/>
                <w:b w:val="0"/>
                <w:bCs w:val="0"/>
                <w:color w:val="000000"/>
                <w:sz w:val="21"/>
                <w:szCs w:val="21"/>
                <w:lang w:val="en-US" w:eastAsia="zh-CN"/>
              </w:rPr>
              <w:t>5</w:t>
            </w:r>
            <w:r>
              <w:rPr>
                <w:rFonts w:hint="eastAsia" w:ascii="宋体" w:hAnsi="宋体" w:eastAsia="宋体" w:cs="宋体"/>
                <w:b w:val="0"/>
                <w:bCs w:val="0"/>
                <w:color w:val="000000"/>
                <w:sz w:val="21"/>
                <w:szCs w:val="21"/>
                <w:lang w:eastAsia="zh-CN"/>
              </w:rPr>
              <w:t>.短信通道需要与接入方多平台系统服务对接，接口方式应设计合理，对接简单，调试便捷，减少对接方的开发量。</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16</w:t>
            </w:r>
            <w:r>
              <w:rPr>
                <w:rFonts w:hint="eastAsia" w:ascii="宋体" w:hAnsi="宋体" w:eastAsia="宋体" w:cs="宋体"/>
                <w:b w:val="0"/>
                <w:bCs w:val="0"/>
                <w:color w:val="000000"/>
                <w:sz w:val="21"/>
                <w:szCs w:val="21"/>
                <w:lang w:eastAsia="zh-CN"/>
              </w:rPr>
              <w:t>.接口需具备严格的身份验证与授权，对调用者实施严格的身份验证、鉴权和来源IP白名单限制。</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17</w:t>
            </w:r>
            <w:r>
              <w:rPr>
                <w:rFonts w:hint="eastAsia" w:ascii="宋体" w:hAnsi="宋体" w:eastAsia="宋体" w:cs="宋体"/>
                <w:b w:val="0"/>
                <w:bCs w:val="0"/>
                <w:color w:val="000000"/>
                <w:sz w:val="21"/>
                <w:szCs w:val="21"/>
                <w:lang w:eastAsia="zh-CN"/>
              </w:rPr>
              <w:t>.具备完备的短信内容过滤和审查机制管控机制，防范短信不良信息风险。防止接口被用于短信轰炸、钓鱼攻击，发送虚假广告、诈骗、色情等违法不良信息、垃圾信息等；具备完备的日志审计和实时监控、异常行为预警。对接口的使用有态势感知和实时监控，能及时发现异常或攻击行为，能实时分析和预警，对攻击行为能快速发现、快速预警、快速处置；具有完备的数据管理规范和制度，完备的数据脱敏、数据加密存储机制，确保接入方的业务短信不被使用、利用、盗用，防范因供应商平台风险导致的接入方业务风险，确保用户隐私和数据存储安全。</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35"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18</w:t>
            </w:r>
            <w:r>
              <w:rPr>
                <w:rFonts w:hint="eastAsia" w:ascii="宋体" w:hAnsi="宋体" w:eastAsia="宋体" w:cs="宋体"/>
                <w:b w:val="0"/>
                <w:bCs w:val="0"/>
                <w:color w:val="000000"/>
                <w:sz w:val="21"/>
                <w:szCs w:val="21"/>
                <w:lang w:eastAsia="zh-CN"/>
              </w:rPr>
              <w:t>.接口数据传输加密。短信接口需提供支持https协议，防范数据传输过程中的风险，确保数据通过加密通道传输。</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19</w:t>
            </w:r>
            <w:r>
              <w:rPr>
                <w:rFonts w:hint="eastAsia" w:ascii="宋体" w:hAnsi="宋体" w:eastAsia="宋体" w:cs="宋体"/>
                <w:b w:val="0"/>
                <w:bCs w:val="0"/>
                <w:color w:val="000000"/>
                <w:sz w:val="21"/>
                <w:szCs w:val="21"/>
                <w:lang w:eastAsia="zh-CN"/>
              </w:rPr>
              <w:t>.为保障服务安全，短信服务应具备部署在Linux系统、国产操作系统上的部署能力，部署方式具备紧急风险预案。</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20</w:t>
            </w:r>
            <w:r>
              <w:rPr>
                <w:rFonts w:hint="eastAsia" w:ascii="宋体" w:hAnsi="宋体" w:eastAsia="宋体" w:cs="宋体"/>
                <w:b w:val="0"/>
                <w:bCs w:val="0"/>
                <w:color w:val="000000"/>
                <w:sz w:val="21"/>
                <w:szCs w:val="21"/>
                <w:lang w:eastAsia="zh-CN"/>
              </w:rPr>
              <w:t>.技术支持人员2人，承诺7×24小时技术咨询服务，必要时可根据采购人要求到现场进行技术支持与技术咨询服务。</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21</w:t>
            </w:r>
            <w:r>
              <w:rPr>
                <w:rFonts w:hint="eastAsia" w:ascii="宋体" w:hAnsi="宋体" w:eastAsia="宋体" w:cs="宋体"/>
                <w:b w:val="0"/>
                <w:bCs w:val="0"/>
                <w:color w:val="000000"/>
                <w:sz w:val="21"/>
                <w:szCs w:val="21"/>
                <w:lang w:eastAsia="zh-CN"/>
              </w:rPr>
              <w:t>.可根据采购人需求，调整、优化短信服务流程和接口方式，对短信服务程序进行二次开发，不再向采购人收取额外服务费用。</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0"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22</w:t>
            </w:r>
            <w:r>
              <w:rPr>
                <w:rFonts w:hint="eastAsia" w:ascii="宋体" w:hAnsi="宋体" w:eastAsia="宋体" w:cs="宋体"/>
                <w:b w:val="0"/>
                <w:bCs w:val="0"/>
                <w:color w:val="000000"/>
                <w:sz w:val="21"/>
                <w:szCs w:val="21"/>
                <w:lang w:eastAsia="zh-CN"/>
              </w:rPr>
              <w:t>.为保障采购人其他业务系统正常使用短信服务，可为采购人指定的其他业务系统开发商或生产单位进行技术支持服务。包含但不限于：系统对接，接口调试，业务联调等服务。不再向采购人及其他业务系统开发商或生产单位收取额外服务费用。</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7"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restart"/>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p>
            <w:pPr>
              <w:widowControl/>
              <w:jc w:val="center"/>
              <w:rPr>
                <w:rFonts w:hint="eastAsia" w:ascii="宋体" w:hAnsi="宋体" w:eastAsia="宋体" w:cs="宋体"/>
                <w:color w:val="000000"/>
                <w:sz w:val="21"/>
                <w:szCs w:val="21"/>
                <w:lang w:bidi="ar"/>
              </w:rPr>
            </w:pPr>
          </w:p>
          <w:p>
            <w:pPr>
              <w:widowControl/>
              <w:jc w:val="center"/>
              <w:rPr>
                <w:rFonts w:hint="eastAsia" w:ascii="宋体" w:hAnsi="宋体" w:eastAsia="宋体" w:cs="宋体"/>
                <w:color w:val="000000"/>
                <w:sz w:val="21"/>
                <w:szCs w:val="21"/>
                <w:lang w:bidi="ar"/>
              </w:rPr>
            </w:pPr>
          </w:p>
          <w:p>
            <w:pPr>
              <w:widowControl/>
              <w:jc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运维服务要求</w:t>
            </w:r>
          </w:p>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23</w:t>
            </w:r>
            <w:r>
              <w:rPr>
                <w:rFonts w:hint="eastAsia" w:ascii="宋体" w:hAnsi="宋体" w:eastAsia="宋体" w:cs="宋体"/>
                <w:b w:val="0"/>
                <w:bCs w:val="0"/>
                <w:color w:val="000000"/>
                <w:sz w:val="21"/>
                <w:szCs w:val="21"/>
                <w:lang w:eastAsia="zh-CN"/>
              </w:rPr>
              <w:t>.维护采购人分配的服务器资源，对服务器安全稳定负责。</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745"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2</w:t>
            </w:r>
            <w:r>
              <w:rPr>
                <w:rFonts w:hint="eastAsia" w:ascii="宋体" w:hAnsi="宋体" w:eastAsia="宋体" w:cs="宋体"/>
                <w:b w:val="0"/>
                <w:bCs w:val="0"/>
                <w:color w:val="000000"/>
                <w:sz w:val="21"/>
                <w:szCs w:val="21"/>
                <w:lang w:val="en-US" w:eastAsia="zh-CN"/>
              </w:rPr>
              <w:t>4</w:t>
            </w:r>
            <w:r>
              <w:rPr>
                <w:rFonts w:hint="eastAsia" w:ascii="宋体" w:hAnsi="宋体" w:eastAsia="宋体" w:cs="宋体"/>
                <w:b w:val="0"/>
                <w:bCs w:val="0"/>
                <w:color w:val="000000"/>
                <w:sz w:val="21"/>
                <w:szCs w:val="21"/>
                <w:lang w:eastAsia="zh-CN"/>
              </w:rPr>
              <w:t>.供应商需指派专门的联系人，负责采购人短信收发相关问题的协调沟通工作，定期对采购人短信线路、接口进行检查维护，保障短信收发正常，网络稳定；针对各类故障，需有应急预案及相关管理制度，做到7×24故障响应，在故障发生后，及时安排人员配合采购人进行故障排除，恢复工作，响应时间为接到通知10分钟内，一般故障应在1小时内完成修复工作。针对各种突发事件具有可行性高的应急预案，如黑客行为、系统漏洞、病毒查杀等。</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53"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25</w:t>
            </w:r>
            <w:r>
              <w:rPr>
                <w:rFonts w:hint="eastAsia" w:ascii="宋体" w:hAnsi="宋体" w:eastAsia="宋体" w:cs="宋体"/>
                <w:b w:val="0"/>
                <w:bCs w:val="0"/>
                <w:color w:val="000000"/>
                <w:sz w:val="21"/>
                <w:szCs w:val="21"/>
                <w:lang w:eastAsia="zh-CN"/>
              </w:rPr>
              <w:t>.在供应商平台出现故障无法短时间内修复时，需要按照应急方案以保证采购人业务系统可以快速恢复和运转，避免影响有关部门的业务，造成不良社会影响。重大故障的修复时间不超过24小时。</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26</w:t>
            </w:r>
            <w:r>
              <w:rPr>
                <w:rFonts w:hint="eastAsia" w:ascii="宋体" w:hAnsi="宋体" w:eastAsia="宋体" w:cs="宋体"/>
                <w:b w:val="0"/>
                <w:bCs w:val="0"/>
                <w:color w:val="000000"/>
                <w:sz w:val="21"/>
                <w:szCs w:val="21"/>
                <w:lang w:eastAsia="zh-CN"/>
              </w:rPr>
              <w:t>.建立监控报警机制，在短信通道堵塞或服务器异常等情况下能够预警报警。</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27</w:t>
            </w:r>
            <w:r>
              <w:rPr>
                <w:rFonts w:hint="eastAsia" w:ascii="宋体" w:hAnsi="宋体" w:eastAsia="宋体" w:cs="宋体"/>
                <w:b w:val="0"/>
                <w:bCs w:val="0"/>
                <w:color w:val="000000"/>
                <w:sz w:val="21"/>
                <w:szCs w:val="21"/>
                <w:lang w:eastAsia="zh-CN"/>
              </w:rPr>
              <w:t>.可根据采购人需求，支撑服务器的新增、调整、负载、迁移等工作，必要时根据采购人要求，可到现场实施服务，不再向采购人额外收取服务费用；在服务期内，供应商应根据采购人工作需要和要求提供相应的线路重点保障服务，重保服务不再收取任何费用。</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28</w:t>
            </w:r>
            <w:r>
              <w:rPr>
                <w:rFonts w:hint="eastAsia" w:ascii="宋体" w:hAnsi="宋体" w:eastAsia="宋体" w:cs="宋体"/>
                <w:b w:val="0"/>
                <w:bCs w:val="0"/>
                <w:color w:val="000000"/>
                <w:sz w:val="21"/>
                <w:szCs w:val="21"/>
                <w:lang w:eastAsia="zh-CN"/>
              </w:rPr>
              <w:t>.根据采购人需要，在关键时期，提供7×24小时驻场监控与运维服务，驻场累计60天，驻场人数不低于2人。</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29</w:t>
            </w:r>
            <w:r>
              <w:rPr>
                <w:rFonts w:hint="eastAsia" w:ascii="宋体" w:hAnsi="宋体" w:eastAsia="宋体" w:cs="宋体"/>
                <w:b w:val="0"/>
                <w:bCs w:val="0"/>
                <w:color w:val="000000"/>
                <w:sz w:val="21"/>
                <w:szCs w:val="21"/>
                <w:lang w:eastAsia="zh-CN"/>
              </w:rPr>
              <w:t>.投标人需配合采购人的服务需求变化，对投标人的系统进行相应的改造，确保短信转发业务正常运行，并达到中标人的技术要求。</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30</w:t>
            </w:r>
            <w:r>
              <w:rPr>
                <w:rFonts w:hint="eastAsia" w:ascii="宋体" w:hAnsi="宋体" w:eastAsia="宋体" w:cs="宋体"/>
                <w:b w:val="0"/>
                <w:bCs w:val="0"/>
                <w:color w:val="000000"/>
                <w:sz w:val="21"/>
                <w:szCs w:val="21"/>
                <w:lang w:eastAsia="zh-CN"/>
              </w:rPr>
              <w:t>.供应商因国防需要、政府指令、网络维护、网络调整、网络安全等因素，对可能影响到采购人短信收发的，在网络通信资源的调整和通信接口的修改前，应事先向采购人提出相关的调整申请，双方共同协商后进行调整，保证调整内容不影响采购人短信的正常收发。</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96"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31</w:t>
            </w:r>
            <w:r>
              <w:rPr>
                <w:rFonts w:hint="eastAsia" w:ascii="宋体" w:hAnsi="宋体" w:eastAsia="宋体" w:cs="宋体"/>
                <w:b w:val="0"/>
                <w:bCs w:val="0"/>
                <w:color w:val="000000"/>
                <w:sz w:val="21"/>
                <w:szCs w:val="21"/>
                <w:lang w:eastAsia="zh-CN"/>
              </w:rPr>
              <w:t>.供应商平台需保存短信发送记录至少6个月，供应商支持人工协查12个月内记录，客户服务等对短信转发日志的查询要求。</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1"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restart"/>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验收</w:t>
            </w:r>
          </w:p>
          <w:p>
            <w:pPr>
              <w:widowControl/>
              <w:jc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要求</w:t>
            </w: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32</w:t>
            </w:r>
            <w:r>
              <w:rPr>
                <w:rFonts w:hint="eastAsia" w:ascii="宋体" w:hAnsi="宋体" w:eastAsia="宋体" w:cs="宋体"/>
                <w:b w:val="0"/>
                <w:bCs w:val="0"/>
                <w:color w:val="000000"/>
                <w:sz w:val="21"/>
                <w:szCs w:val="21"/>
                <w:lang w:eastAsia="zh-CN"/>
              </w:rPr>
              <w:t>.针对短信发送的成功率、速率以及码号等关键指标进行全面测试，并出具包含接口功能验证、性能测试结果、稳定性评估及安全性分析的测试报告或说明文档。</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69"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33</w:t>
            </w:r>
            <w:r>
              <w:rPr>
                <w:rFonts w:hint="eastAsia" w:ascii="宋体" w:hAnsi="宋体" w:eastAsia="宋体" w:cs="宋体"/>
                <w:b w:val="0"/>
                <w:bCs w:val="0"/>
                <w:color w:val="000000"/>
                <w:sz w:val="21"/>
                <w:szCs w:val="21"/>
                <w:lang w:eastAsia="zh-CN"/>
              </w:rPr>
              <w:t>.提供短信接口文档、DEMO及SDK资源包。提供针对可能发生的突发事件的详细应急预案。</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2"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34</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提供</w:t>
            </w:r>
            <w:r>
              <w:rPr>
                <w:rFonts w:hint="eastAsia" w:ascii="宋体" w:hAnsi="宋体" w:eastAsia="宋体" w:cs="宋体"/>
                <w:b w:val="0"/>
                <w:bCs w:val="0"/>
                <w:color w:val="000000"/>
                <w:sz w:val="21"/>
                <w:szCs w:val="21"/>
                <w:lang w:eastAsia="zh-CN"/>
              </w:rPr>
              <w:t>其他能力证明文件（如资质证明、质量管理制度、安全管理制度等规章性文件）。</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97"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35</w:t>
            </w:r>
            <w:r>
              <w:rPr>
                <w:rFonts w:hint="eastAsia" w:ascii="宋体" w:hAnsi="宋体" w:eastAsia="宋体" w:cs="宋体"/>
                <w:b w:val="0"/>
                <w:bCs w:val="0"/>
                <w:color w:val="000000"/>
                <w:sz w:val="21"/>
                <w:szCs w:val="21"/>
                <w:lang w:eastAsia="zh-CN"/>
              </w:rPr>
              <w:t>.供应商按季度提交详细的发送总量、成功率等统计报表，作为验收支撑材料。</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63" w:hRule="atLeast"/>
          <w:jc w:val="center"/>
        </w:trPr>
        <w:tc>
          <w:tcPr>
            <w:tcW w:w="575"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819" w:type="dxa"/>
            <w:vMerge w:val="continue"/>
            <w:tcBorders>
              <w:tl2br w:val="nil"/>
              <w:tr2bl w:val="nil"/>
            </w:tcBorders>
            <w:tcMar>
              <w:top w:w="15" w:type="dxa"/>
              <w:left w:w="15" w:type="dxa"/>
              <w:bottom w:w="0" w:type="dxa"/>
              <w:right w:w="15" w:type="dxa"/>
            </w:tcMar>
            <w:vAlign w:val="center"/>
          </w:tcPr>
          <w:p>
            <w:pPr>
              <w:widowControl/>
              <w:jc w:val="center"/>
              <w:rPr>
                <w:rFonts w:hint="eastAsia" w:ascii="宋体" w:hAnsi="宋体" w:eastAsia="宋体" w:cs="宋体"/>
                <w:color w:val="000000"/>
                <w:sz w:val="21"/>
                <w:szCs w:val="21"/>
                <w:lang w:bidi="ar"/>
              </w:rPr>
            </w:pPr>
          </w:p>
        </w:tc>
        <w:tc>
          <w:tcPr>
            <w:tcW w:w="655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36</w:t>
            </w:r>
            <w:r>
              <w:rPr>
                <w:rFonts w:hint="eastAsia" w:ascii="宋体" w:hAnsi="宋体" w:eastAsia="宋体" w:cs="宋体"/>
                <w:b w:val="0"/>
                <w:bCs w:val="0"/>
                <w:color w:val="000000"/>
                <w:sz w:val="21"/>
                <w:szCs w:val="21"/>
                <w:lang w:eastAsia="zh-CN"/>
              </w:rPr>
              <w:t>.结算以采购人系统数据为准。</w:t>
            </w: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3"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p>
        </w:tc>
        <w:tc>
          <w:tcPr>
            <w:tcW w:w="726"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color w:val="000000"/>
                <w:sz w:val="21"/>
                <w:szCs w:val="21"/>
                <w:lang w:val="en-US" w:eastAsia="zh-CN"/>
              </w:rPr>
            </w:pPr>
            <w:r>
              <w:rPr>
                <w:rFonts w:hint="eastAsia" w:ascii="宋体" w:hAnsi="宋体" w:cs="宋体"/>
                <w:color w:val="000000"/>
                <w:sz w:val="21"/>
                <w:szCs w:val="21"/>
                <w:lang w:eastAsia="zh-CN" w:bidi="ar"/>
              </w:rPr>
              <w:t>第</w:t>
            </w:r>
            <w:r>
              <w:rPr>
                <w:rFonts w:hint="eastAsia" w:ascii="宋体" w:hAnsi="宋体" w:cs="宋体"/>
                <w:color w:val="000000"/>
                <w:sz w:val="21"/>
                <w:szCs w:val="21"/>
                <w:lang w:val="en-US" w:eastAsia="zh-CN" w:bidi="ar"/>
              </w:rPr>
              <w:t xml:space="preserve"> 页</w:t>
            </w:r>
          </w:p>
        </w:tc>
      </w:tr>
    </w:tbl>
    <w:p>
      <w:pPr>
        <w:pStyle w:val="10"/>
      </w:pPr>
    </w:p>
    <w:p>
      <w:pPr>
        <w:pStyle w:val="11"/>
        <w:keepNext w:val="0"/>
        <w:keepLines w:val="0"/>
        <w:pageBreakBefore w:val="0"/>
        <w:widowControl w:val="0"/>
        <w:kinsoku/>
        <w:overflowPunct/>
        <w:topLinePunct w:val="0"/>
        <w:bidi w:val="0"/>
      </w:pPr>
    </w:p>
    <w:p/>
    <w:p>
      <w:pPr>
        <w:pStyle w:val="2"/>
      </w:pPr>
    </w:p>
    <w:p>
      <w:pPr>
        <w:pStyle w:val="2"/>
      </w:pPr>
    </w:p>
    <w:p>
      <w:pPr>
        <w:rPr>
          <w:rFonts w:hint="eastAsia"/>
        </w:rPr>
      </w:pPr>
    </w:p>
    <w:tbl>
      <w:tblPr>
        <w:tblStyle w:val="28"/>
        <w:tblW w:w="10331" w:type="dxa"/>
        <w:jc w:val="center"/>
        <w:tblInd w:w="7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5235"/>
        <w:gridCol w:w="1785"/>
        <w:gridCol w:w="1437"/>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10331" w:type="dxa"/>
            <w:gridSpan w:val="5"/>
            <w:vAlign w:val="center"/>
          </w:tcPr>
          <w:p>
            <w:pPr>
              <w:keepNext w:val="0"/>
              <w:keepLines w:val="0"/>
              <w:pageBreakBefore w:val="0"/>
              <w:widowControl w:val="0"/>
              <w:kinsoku/>
              <w:wordWrap/>
              <w:overflowPunct/>
              <w:topLinePunct w:val="0"/>
              <w:autoSpaceDE/>
              <w:autoSpaceDN/>
              <w:bidi w:val="0"/>
              <w:snapToGrid/>
              <w:spacing w:line="240" w:lineRule="auto"/>
              <w:jc w:val="center"/>
              <w:rPr>
                <w:rFonts w:hint="eastAsia"/>
                <w:lang w:val="en-US" w:eastAsia="zh-CN"/>
              </w:rPr>
            </w:pPr>
            <w:r>
              <w:rPr>
                <w:rFonts w:hint="eastAsia" w:ascii="Times New Roman" w:hAnsi="Times New Roman" w:eastAsia="宋体" w:cs="Times New Roman"/>
              </w:rPr>
              <w:t>★</w:t>
            </w:r>
            <w:r>
              <w:rPr>
                <w:rFonts w:hint="eastAsia" w:ascii="Times New Roman" w:hAnsi="Times New Roman" w:eastAsia="宋体" w:cs="Times New Roman"/>
                <w:b/>
                <w:bCs/>
                <w:lang w:val="en-US" w:eastAsia="zh-CN"/>
              </w:rPr>
              <w:t>商务部分</w:t>
            </w:r>
          </w:p>
          <w:p>
            <w:pPr>
              <w:widowControl w:val="0"/>
              <w:ind w:firstLine="560"/>
              <w:jc w:val="both"/>
              <w:rPr>
                <w:rFonts w:hint="eastAsia" w:ascii="宋体" w:hAnsi="宋体" w:eastAsia="宋体" w:cs="宋体"/>
                <w:b/>
                <w:bCs/>
                <w:color w:val="FF0000"/>
                <w:kern w:val="0"/>
                <w:sz w:val="21"/>
                <w:szCs w:val="21"/>
                <w:lang w:val="en-US" w:eastAsia="zh-CN" w:bidi="ar-SA"/>
              </w:rPr>
            </w:pPr>
            <w:r>
              <w:rPr>
                <w:rFonts w:hint="eastAsia" w:ascii="宋体" w:hAnsi="宋体" w:eastAsia="宋体" w:cs="宋体"/>
                <w:b/>
                <w:bCs/>
                <w:color w:val="FF0000"/>
                <w:kern w:val="0"/>
                <w:sz w:val="21"/>
                <w:szCs w:val="21"/>
                <w:lang w:val="en-US" w:eastAsia="zh-CN" w:bidi="ar-SA"/>
              </w:rPr>
              <w:t>注：本部分内容为项目正常开展的基本要求，均为★号条款要求，如出现负偏离，将导致投标无效。</w:t>
            </w:r>
          </w:p>
          <w:p>
            <w:pPr>
              <w:widowControl w:val="0"/>
              <w:ind w:firstLine="560"/>
              <w:jc w:val="both"/>
              <w:rPr>
                <w:rFonts w:hint="eastAsia" w:ascii="Times New Roman" w:hAnsi="Times New Roman" w:eastAsia="仿宋_GB2312" w:cs="宋体"/>
                <w:kern w:val="2"/>
                <w:sz w:val="24"/>
                <w:szCs w:val="20"/>
                <w:lang w:val="en-US" w:eastAsia="zh-CN" w:bidi="ar-SA"/>
              </w:rPr>
            </w:pPr>
            <w:r>
              <w:rPr>
                <w:rFonts w:hint="eastAsia" w:ascii="宋体" w:hAnsi="宋体" w:eastAsia="宋体" w:cs="宋体"/>
                <w:b/>
                <w:bCs/>
                <w:color w:val="FF0000"/>
                <w:kern w:val="0"/>
                <w:sz w:val="21"/>
                <w:szCs w:val="21"/>
                <w:lang w:val="en-US" w:eastAsia="zh-CN" w:bidi="ar-SA"/>
              </w:rPr>
              <w:t>如无偏离</w:t>
            </w:r>
            <w:r>
              <w:rPr>
                <w:rFonts w:hint="eastAsia" w:ascii="宋体" w:hAnsi="宋体" w:eastAsia="宋体" w:cs="Times New Roman"/>
                <w:b/>
                <w:bCs/>
                <w:color w:val="FF0000"/>
                <w:kern w:val="2"/>
                <w:sz w:val="21"/>
                <w:szCs w:val="21"/>
                <w:lang w:val="en-US" w:eastAsia="zh-CN" w:bidi="ar-SA"/>
              </w:rPr>
              <w:t>“投标文件响应”一栏应填写</w:t>
            </w:r>
            <w:r>
              <w:rPr>
                <w:rFonts w:hint="eastAsia" w:ascii="宋体" w:hAnsi="宋体" w:eastAsia="宋体" w:cs="宋体"/>
                <w:b/>
                <w:bCs/>
                <w:color w:val="FF0000"/>
                <w:kern w:val="0"/>
                <w:sz w:val="21"/>
                <w:szCs w:val="21"/>
                <w:lang w:val="en-US" w:eastAsia="zh-CN" w:bidi="ar-SA"/>
              </w:rPr>
              <w:t>“完全响应”，</w:t>
            </w:r>
            <w:r>
              <w:rPr>
                <w:rFonts w:hint="eastAsia" w:ascii="宋体" w:hAnsi="宋体" w:eastAsia="宋体" w:cs="Times New Roman"/>
                <w:b/>
                <w:bCs/>
                <w:color w:val="FF0000"/>
                <w:kern w:val="2"/>
                <w:sz w:val="21"/>
                <w:szCs w:val="21"/>
                <w:lang w:val="en-US" w:eastAsia="zh-CN" w:bidi="ar-SA"/>
              </w:rPr>
              <w:t>“偏离情况”一栏应填写</w:t>
            </w:r>
            <w:r>
              <w:rPr>
                <w:rFonts w:hint="eastAsia" w:ascii="宋体" w:hAnsi="宋体" w:eastAsia="宋体" w:cs="宋体"/>
                <w:b/>
                <w:bCs/>
                <w:color w:val="FF0000"/>
                <w:kern w:val="0"/>
                <w:sz w:val="21"/>
                <w:szCs w:val="21"/>
                <w:lang w:val="en-US" w:eastAsia="zh-CN" w:bidi="ar-SA"/>
              </w:rPr>
              <w:t>“无偏离”。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923" w:type="dxa"/>
            <w:vAlign w:val="center"/>
          </w:tcPr>
          <w:p>
            <w:pPr>
              <w:keepNext w:val="0"/>
              <w:keepLines w:val="0"/>
              <w:pageBreakBefore w:val="0"/>
              <w:widowControl w:val="0"/>
              <w:kinsoku/>
              <w:wordWrap/>
              <w:overflowPunct/>
              <w:topLinePunct w:val="0"/>
              <w:autoSpaceDE/>
              <w:autoSpaceDN/>
              <w:bidi w:val="0"/>
              <w:snapToGrid/>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序号</w:t>
            </w:r>
          </w:p>
        </w:tc>
        <w:tc>
          <w:tcPr>
            <w:tcW w:w="5235" w:type="dxa"/>
            <w:vAlign w:val="center"/>
          </w:tcPr>
          <w:p>
            <w:pPr>
              <w:keepNext w:val="0"/>
              <w:keepLines w:val="0"/>
              <w:pageBreakBefore w:val="0"/>
              <w:widowControl w:val="0"/>
              <w:kinsoku/>
              <w:wordWrap/>
              <w:overflowPunct/>
              <w:topLinePunct w:val="0"/>
              <w:autoSpaceDE/>
              <w:autoSpaceDN/>
              <w:bidi w:val="0"/>
              <w:snapToGrid/>
              <w:spacing w:line="240" w:lineRule="auto"/>
              <w:jc w:val="center"/>
              <w:rPr>
                <w:rFonts w:hint="eastAsia" w:ascii="宋体" w:hAnsi="宋体" w:eastAsia="宋体" w:cs="宋体"/>
                <w:b/>
                <w:sz w:val="21"/>
                <w:szCs w:val="21"/>
              </w:rPr>
            </w:pPr>
            <w:r>
              <w:rPr>
                <w:rFonts w:hint="eastAsia" w:ascii="宋体" w:hAnsi="宋体" w:eastAsia="宋体" w:cs="宋体"/>
                <w:b/>
                <w:bCs/>
                <w:color w:val="000000"/>
                <w:kern w:val="0"/>
                <w:sz w:val="21"/>
                <w:szCs w:val="21"/>
                <w:lang w:val="en-US" w:eastAsia="zh-CN"/>
              </w:rPr>
              <w:t>商务条款具体内容</w:t>
            </w:r>
          </w:p>
        </w:tc>
        <w:tc>
          <w:tcPr>
            <w:tcW w:w="1785" w:type="dxa"/>
            <w:vAlign w:val="center"/>
          </w:tcPr>
          <w:p>
            <w:pPr>
              <w:keepNext w:val="0"/>
              <w:keepLines w:val="0"/>
              <w:pageBreakBefore w:val="0"/>
              <w:widowControl w:val="0"/>
              <w:kinsoku/>
              <w:wordWrap/>
              <w:overflowPunct/>
              <w:topLinePunct w:val="0"/>
              <w:autoSpaceDE/>
              <w:autoSpaceDN/>
              <w:bidi w:val="0"/>
              <w:snapToGrid/>
              <w:spacing w:line="240" w:lineRule="auto"/>
              <w:jc w:val="center"/>
              <w:rPr>
                <w:rFonts w:hint="eastAsia" w:ascii="宋体" w:hAnsi="宋体" w:eastAsia="宋体" w:cs="宋体"/>
                <w:b/>
                <w:color w:val="000000"/>
                <w:sz w:val="21"/>
                <w:szCs w:val="21"/>
              </w:rPr>
            </w:pPr>
            <w:r>
              <w:rPr>
                <w:rFonts w:hint="eastAsia" w:ascii="宋体" w:hAnsi="宋体" w:eastAsia="宋体" w:cs="宋体"/>
                <w:b/>
                <w:bCs/>
                <w:color w:val="000000"/>
                <w:kern w:val="0"/>
                <w:sz w:val="21"/>
                <w:szCs w:val="21"/>
                <w:lang w:val="en-US" w:eastAsia="zh-CN"/>
              </w:rPr>
              <w:t>投标文件响应</w:t>
            </w:r>
          </w:p>
        </w:tc>
        <w:tc>
          <w:tcPr>
            <w:tcW w:w="1437" w:type="dxa"/>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color w:val="000000"/>
                <w:sz w:val="21"/>
                <w:szCs w:val="21"/>
              </w:rPr>
            </w:pPr>
            <w:r>
              <w:rPr>
                <w:rFonts w:hint="eastAsia" w:ascii="宋体" w:hAnsi="宋体" w:eastAsia="宋体" w:cs="Arial"/>
                <w:b/>
                <w:szCs w:val="21"/>
              </w:rPr>
              <w:t>偏离情况</w:t>
            </w:r>
          </w:p>
        </w:tc>
        <w:tc>
          <w:tcPr>
            <w:tcW w:w="951" w:type="dxa"/>
            <w:vAlign w:val="center"/>
          </w:tcPr>
          <w:p>
            <w:pPr>
              <w:keepNext w:val="0"/>
              <w:keepLines w:val="0"/>
              <w:pageBreakBefore w:val="0"/>
              <w:widowControl w:val="0"/>
              <w:kinsoku/>
              <w:wordWrap/>
              <w:overflowPunct/>
              <w:topLinePunct w:val="0"/>
              <w:autoSpaceDE/>
              <w:autoSpaceDN/>
              <w:bidi w:val="0"/>
              <w:snapToGrid/>
              <w:spacing w:line="240" w:lineRule="auto"/>
              <w:jc w:val="center"/>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2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1</w:t>
            </w:r>
          </w:p>
        </w:tc>
        <w:tc>
          <w:tcPr>
            <w:tcW w:w="523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sz w:val="21"/>
                <w:szCs w:val="21"/>
              </w:rPr>
            </w:pPr>
            <w:r>
              <w:rPr>
                <w:rFonts w:hint="eastAsia" w:ascii="宋体" w:hAnsi="宋体" w:eastAsia="宋体" w:cs="宋体"/>
                <w:b/>
                <w:bCs/>
                <w:color w:val="FF0000"/>
                <w:kern w:val="0"/>
                <w:sz w:val="21"/>
                <w:szCs w:val="21"/>
                <w:lang w:val="en-US" w:eastAsia="zh-CN"/>
              </w:rPr>
              <w:t>本项目招标文件中商务部分所有条款内容</w:t>
            </w:r>
          </w:p>
        </w:tc>
        <w:tc>
          <w:tcPr>
            <w:tcW w:w="1785" w:type="dxa"/>
            <w:vAlign w:val="center"/>
          </w:tcPr>
          <w:p>
            <w:pPr>
              <w:keepNext w:val="0"/>
              <w:keepLines w:val="0"/>
              <w:pageBreakBefore w:val="0"/>
              <w:widowControl w:val="0"/>
              <w:kinsoku/>
              <w:wordWrap/>
              <w:overflowPunct/>
              <w:topLinePunct w:val="0"/>
              <w:autoSpaceDE/>
              <w:autoSpaceDN/>
              <w:bidi w:val="0"/>
              <w:snapToGrid/>
              <w:spacing w:line="240" w:lineRule="auto"/>
              <w:jc w:val="center"/>
              <w:rPr>
                <w:rFonts w:hint="eastAsia" w:ascii="宋体" w:hAnsi="宋体" w:eastAsia="宋体" w:cs="宋体"/>
                <w:b/>
                <w:color w:val="000000"/>
                <w:sz w:val="21"/>
                <w:szCs w:val="21"/>
              </w:rPr>
            </w:pPr>
          </w:p>
        </w:tc>
        <w:tc>
          <w:tcPr>
            <w:tcW w:w="1437" w:type="dxa"/>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color w:val="000000"/>
                <w:sz w:val="21"/>
                <w:szCs w:val="21"/>
              </w:rPr>
            </w:pPr>
          </w:p>
        </w:tc>
        <w:tc>
          <w:tcPr>
            <w:tcW w:w="951" w:type="dxa"/>
            <w:vAlign w:val="center"/>
          </w:tcPr>
          <w:p>
            <w:pPr>
              <w:keepNext w:val="0"/>
              <w:keepLines w:val="0"/>
              <w:pageBreakBefore w:val="0"/>
              <w:widowControl w:val="0"/>
              <w:kinsoku/>
              <w:wordWrap/>
              <w:overflowPunct/>
              <w:topLinePunct w:val="0"/>
              <w:autoSpaceDE/>
              <w:autoSpaceDN/>
              <w:bidi w:val="0"/>
              <w:snapToGrid/>
              <w:spacing w:line="240" w:lineRule="auto"/>
              <w:jc w:val="both"/>
              <w:rPr>
                <w:rFonts w:hint="default" w:ascii="宋体" w:hAnsi="宋体" w:eastAsia="宋体" w:cs="宋体"/>
                <w:b/>
                <w:color w:val="000000"/>
                <w:sz w:val="21"/>
                <w:szCs w:val="21"/>
                <w:lang w:val="en-US" w:eastAsia="zh-CN"/>
              </w:rPr>
            </w:pPr>
          </w:p>
        </w:tc>
      </w:tr>
    </w:tbl>
    <w:p>
      <w:pPr>
        <w:keepNext w:val="0"/>
        <w:keepLines w:val="0"/>
        <w:pageBreakBefore w:val="0"/>
        <w:widowControl w:val="0"/>
        <w:kinsoku/>
        <w:overflowPunct/>
        <w:topLinePunct w:val="0"/>
        <w:bidi w:val="0"/>
      </w:pPr>
    </w:p>
    <w:p>
      <w:pPr>
        <w:pStyle w:val="2"/>
      </w:pPr>
    </w:p>
    <w:tbl>
      <w:tblPr>
        <w:tblStyle w:val="28"/>
        <w:tblW w:w="104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31"/>
        <w:gridCol w:w="8477"/>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10493"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color w:val="000000"/>
                <w:sz w:val="21"/>
                <w:szCs w:val="21"/>
                <w:highlight w:val="none"/>
              </w:rPr>
            </w:pPr>
            <w:r>
              <w:rPr>
                <w:rFonts w:hint="eastAsia" w:ascii="宋体" w:hAnsi="宋体" w:cs="宋体"/>
                <w:b/>
                <w:color w:val="000000"/>
                <w:sz w:val="21"/>
                <w:szCs w:val="21"/>
                <w:highlight w:val="none"/>
              </w:rPr>
              <w:t>其他评分项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 w:hRule="atLeast"/>
          <w:jc w:val="center"/>
        </w:trPr>
        <w:tc>
          <w:tcPr>
            <w:tcW w:w="4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color w:val="000000"/>
                <w:kern w:val="0"/>
                <w:sz w:val="21"/>
                <w:szCs w:val="21"/>
                <w:highlight w:val="none"/>
              </w:rPr>
            </w:pPr>
            <w:r>
              <w:rPr>
                <w:rFonts w:hint="eastAsia" w:ascii="宋体" w:hAnsi="宋体" w:cs="宋体"/>
                <w:b/>
                <w:bCs/>
                <w:color w:val="000000"/>
                <w:kern w:val="0"/>
                <w:sz w:val="21"/>
                <w:szCs w:val="21"/>
                <w:highlight w:val="none"/>
              </w:rPr>
              <w:t>序号</w:t>
            </w:r>
          </w:p>
        </w:tc>
        <w:tc>
          <w:tcPr>
            <w:tcW w:w="7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color w:val="000000"/>
                <w:kern w:val="0"/>
                <w:sz w:val="21"/>
                <w:szCs w:val="21"/>
                <w:highlight w:val="none"/>
              </w:rPr>
            </w:pPr>
            <w:r>
              <w:rPr>
                <w:rFonts w:hint="eastAsia" w:ascii="宋体" w:hAnsi="宋体" w:cs="宋体"/>
                <w:b/>
                <w:bCs/>
                <w:color w:val="000000"/>
                <w:kern w:val="0"/>
                <w:sz w:val="21"/>
                <w:szCs w:val="21"/>
                <w:highlight w:val="none"/>
              </w:rPr>
              <w:t>评分项目</w:t>
            </w:r>
          </w:p>
        </w:tc>
        <w:tc>
          <w:tcPr>
            <w:tcW w:w="847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color w:val="000000"/>
                <w:kern w:val="0"/>
                <w:sz w:val="21"/>
                <w:szCs w:val="21"/>
                <w:highlight w:val="none"/>
              </w:rPr>
            </w:pPr>
            <w:r>
              <w:rPr>
                <w:rFonts w:hint="eastAsia" w:ascii="宋体" w:hAnsi="宋体" w:cs="宋体"/>
                <w:b/>
                <w:color w:val="000000"/>
                <w:sz w:val="21"/>
                <w:szCs w:val="21"/>
                <w:highlight w:val="none"/>
              </w:rPr>
              <w:t>评分准则</w:t>
            </w:r>
          </w:p>
        </w:tc>
        <w:tc>
          <w:tcPr>
            <w:tcW w:w="8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color w:val="000000"/>
                <w:sz w:val="21"/>
                <w:szCs w:val="21"/>
                <w:highlight w:val="none"/>
              </w:rPr>
            </w:pPr>
            <w:r>
              <w:rPr>
                <w:rFonts w:hint="eastAsia" w:ascii="宋体" w:hAnsi="宋体" w:cs="宋体"/>
                <w:b/>
                <w:color w:val="000000"/>
                <w:sz w:val="21"/>
                <w:szCs w:val="21"/>
                <w:highlight w:val="none"/>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2" w:hRule="atLeast"/>
          <w:jc w:val="center"/>
        </w:trPr>
        <w:tc>
          <w:tcPr>
            <w:tcW w:w="4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1</w:t>
            </w:r>
          </w:p>
        </w:tc>
        <w:tc>
          <w:tcPr>
            <w:tcW w:w="731" w:type="dxa"/>
            <w:vAlign w:val="center"/>
          </w:tcPr>
          <w:p>
            <w:pPr>
              <w:keepNext w:val="0"/>
              <w:keepLines w:val="0"/>
              <w:pageBreakBefore w:val="0"/>
              <w:widowControl w:val="0"/>
              <w:kinsoku/>
              <w:wordWrap/>
              <w:overflowPunct/>
              <w:topLinePunct w:val="0"/>
              <w:bidi w:val="0"/>
              <w:spacing w:line="240" w:lineRule="auto"/>
              <w:jc w:val="center"/>
              <w:textAlignment w:val="auto"/>
              <w:rPr>
                <w:rStyle w:val="24"/>
                <w:rFonts w:ascii="宋体" w:hAnsi="宋体" w:cs="宋体"/>
                <w:bCs w:val="0"/>
                <w:color w:val="000000"/>
                <w:sz w:val="21"/>
                <w:szCs w:val="21"/>
                <w:highlight w:val="none"/>
              </w:rPr>
            </w:pPr>
            <w:r>
              <w:rPr>
                <w:rFonts w:hint="eastAsia" w:ascii="宋体" w:hAnsi="宋体" w:eastAsia="宋体" w:cs="宋体"/>
                <w:b w:val="0"/>
                <w:bCs w:val="0"/>
                <w:sz w:val="21"/>
                <w:szCs w:val="21"/>
                <w:highlight w:val="none"/>
                <w:lang w:eastAsia="zh-CN"/>
              </w:rPr>
              <w:t>项目</w:t>
            </w:r>
            <w:r>
              <w:rPr>
                <w:rFonts w:hint="eastAsia" w:ascii="宋体" w:hAnsi="宋体" w:eastAsia="宋体" w:cs="宋体"/>
                <w:b w:val="0"/>
                <w:bCs w:val="0"/>
                <w:sz w:val="21"/>
                <w:szCs w:val="21"/>
                <w:highlight w:val="none"/>
                <w:lang w:val="en-US" w:eastAsia="zh-CN"/>
              </w:rPr>
              <w:t>实施及</w:t>
            </w:r>
            <w:r>
              <w:rPr>
                <w:rFonts w:hint="eastAsia" w:ascii="宋体" w:hAnsi="宋体" w:eastAsia="宋体" w:cs="宋体"/>
                <w:b w:val="0"/>
                <w:bCs w:val="0"/>
                <w:sz w:val="21"/>
                <w:szCs w:val="21"/>
                <w:highlight w:val="none"/>
                <w:lang w:eastAsia="zh-CN"/>
              </w:rPr>
              <w:t>保障方案</w:t>
            </w:r>
          </w:p>
        </w:tc>
        <w:tc>
          <w:tcPr>
            <w:tcW w:w="8477" w:type="dxa"/>
            <w:vAlign w:val="center"/>
          </w:tcPr>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 xml:space="preserve">（一）评审内容： </w:t>
            </w:r>
          </w:p>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考察投标人所提供</w:t>
            </w:r>
            <w:r>
              <w:rPr>
                <w:rFonts w:hint="eastAsia" w:ascii="宋体" w:hAnsi="宋体" w:eastAsia="宋体" w:cs="宋体"/>
                <w:sz w:val="21"/>
                <w:szCs w:val="21"/>
                <w:highlight w:val="none"/>
              </w:rPr>
              <w:t>项目实施</w:t>
            </w:r>
            <w:r>
              <w:rPr>
                <w:rFonts w:hint="eastAsia" w:ascii="宋体" w:hAnsi="宋体" w:eastAsia="宋体" w:cs="宋体"/>
                <w:b w:val="0"/>
                <w:bCs w:val="0"/>
                <w:sz w:val="21"/>
                <w:szCs w:val="21"/>
                <w:highlight w:val="none"/>
                <w:lang w:val="en-US" w:eastAsia="zh-CN"/>
              </w:rPr>
              <w:t>及</w:t>
            </w:r>
            <w:r>
              <w:rPr>
                <w:rFonts w:hint="eastAsia" w:ascii="宋体" w:hAnsi="宋体" w:eastAsia="宋体" w:cs="宋体"/>
                <w:b w:val="0"/>
                <w:bCs w:val="0"/>
                <w:sz w:val="21"/>
                <w:szCs w:val="21"/>
                <w:highlight w:val="none"/>
                <w:lang w:eastAsia="zh-CN"/>
              </w:rPr>
              <w:t>保障方案</w:t>
            </w:r>
            <w:r>
              <w:rPr>
                <w:rFonts w:hint="eastAsia"/>
                <w:color w:val="000000"/>
                <w:szCs w:val="21"/>
                <w:lang w:eastAsia="zh-CN"/>
              </w:rPr>
              <w:t>。</w:t>
            </w:r>
            <w:r>
              <w:rPr>
                <w:rFonts w:hint="eastAsia" w:ascii="宋体" w:hAnsi="宋体" w:eastAsia="宋体" w:cs="宋体"/>
                <w:b w:val="0"/>
                <w:bCs w:val="0"/>
                <w:highlight w:val="none"/>
              </w:rPr>
              <w:t xml:space="preserve"> </w:t>
            </w:r>
          </w:p>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1、</w:t>
            </w:r>
            <w:r>
              <w:rPr>
                <w:rFonts w:hint="eastAsia" w:ascii="宋体" w:hAnsi="宋体" w:eastAsia="宋体" w:cs="宋体"/>
                <w:sz w:val="21"/>
                <w:szCs w:val="21"/>
                <w:highlight w:val="none"/>
              </w:rPr>
              <w:t>项目实施</w:t>
            </w:r>
            <w:r>
              <w:rPr>
                <w:color w:val="000000"/>
                <w:szCs w:val="21"/>
              </w:rPr>
              <w:t>方案</w:t>
            </w:r>
            <w:r>
              <w:rPr>
                <w:rFonts w:hint="eastAsia"/>
                <w:color w:val="000000"/>
                <w:szCs w:val="21"/>
                <w:lang w:eastAsia="zh-CN"/>
              </w:rPr>
              <w:t>：</w:t>
            </w:r>
            <w:r>
              <w:rPr>
                <w:rFonts w:hint="eastAsia" w:ascii="宋体" w:hAnsi="宋体" w:eastAsia="宋体" w:cs="宋体"/>
                <w:sz w:val="21"/>
                <w:szCs w:val="21"/>
                <w:highlight w:val="none"/>
              </w:rPr>
              <w:t>包括但不限于项目组织管理、项目实施进度安排、项目质量管理</w:t>
            </w:r>
            <w:r>
              <w:rPr>
                <w:rFonts w:hint="eastAsia" w:ascii="宋体" w:hAnsi="宋体" w:eastAsia="宋体" w:cs="宋体"/>
                <w:sz w:val="21"/>
                <w:szCs w:val="21"/>
                <w:highlight w:val="none"/>
                <w:lang w:eastAsia="zh-CN"/>
              </w:rPr>
              <w:t>、售后服务承诺</w:t>
            </w:r>
            <w:r>
              <w:rPr>
                <w:rFonts w:hint="eastAsia" w:ascii="宋体" w:hAnsi="宋体" w:eastAsia="宋体" w:cs="宋体"/>
                <w:sz w:val="21"/>
                <w:szCs w:val="21"/>
                <w:highlight w:val="none"/>
              </w:rPr>
              <w:t>等</w:t>
            </w:r>
            <w:r>
              <w:rPr>
                <w:rFonts w:hint="eastAsia" w:ascii="宋体" w:hAnsi="宋体" w:eastAsia="宋体" w:cs="宋体"/>
                <w:b w:val="0"/>
                <w:bCs w:val="0"/>
                <w:highlight w:val="none"/>
              </w:rPr>
              <w:t xml:space="preserve">； </w:t>
            </w:r>
          </w:p>
          <w:p>
            <w:pPr>
              <w:widowControl/>
              <w:spacing w:line="320" w:lineRule="atLeast"/>
              <w:jc w:val="left"/>
              <w:rPr>
                <w:rFonts w:hint="eastAsia" w:ascii="宋体" w:hAnsi="宋体" w:eastAsia="宋体" w:cs="宋体"/>
                <w:b w:val="0"/>
                <w:bCs w:val="0"/>
                <w:highlight w:val="none"/>
                <w:lang w:eastAsia="zh-CN"/>
              </w:rPr>
            </w:pPr>
            <w:r>
              <w:rPr>
                <w:rFonts w:hint="eastAsia" w:ascii="宋体" w:hAnsi="宋体" w:eastAsia="宋体" w:cs="宋体"/>
                <w:b w:val="0"/>
                <w:bCs w:val="0"/>
                <w:highlight w:val="none"/>
              </w:rPr>
              <w:t>2、</w:t>
            </w:r>
            <w:r>
              <w:rPr>
                <w:rFonts w:hint="eastAsia" w:ascii="宋体" w:hAnsi="宋体" w:eastAsia="宋体" w:cs="宋体"/>
                <w:b w:val="0"/>
                <w:bCs w:val="0"/>
                <w:sz w:val="21"/>
                <w:szCs w:val="21"/>
                <w:highlight w:val="none"/>
                <w:lang w:eastAsia="zh-CN"/>
              </w:rPr>
              <w:t>项目保障方案</w:t>
            </w:r>
            <w:r>
              <w:rPr>
                <w:rFonts w:hint="eastAsia"/>
                <w:color w:val="000000"/>
                <w:szCs w:val="21"/>
                <w:lang w:eastAsia="zh-CN"/>
              </w:rPr>
              <w:t>。</w:t>
            </w:r>
          </w:p>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 xml:space="preserve">（二）评分标准： </w:t>
            </w:r>
          </w:p>
          <w:p>
            <w:pPr>
              <w:widowControl/>
              <w:spacing w:line="320" w:lineRule="atLeast"/>
              <w:ind w:firstLine="420" w:firstLineChars="200"/>
              <w:jc w:val="left"/>
              <w:rPr>
                <w:rFonts w:hint="eastAsia" w:ascii="宋体" w:hAnsi="宋体" w:cs="宋体"/>
                <w:b w:val="0"/>
                <w:bCs w:val="0"/>
                <w:highlight w:val="none"/>
                <w:lang w:eastAsia="zh-CN"/>
              </w:rPr>
            </w:pPr>
            <w:r>
              <w:rPr>
                <w:rFonts w:hint="eastAsia" w:ascii="宋体" w:hAnsi="宋体" w:cs="宋体"/>
                <w:b w:val="0"/>
                <w:bCs w:val="0"/>
                <w:highlight w:val="none"/>
                <w:lang w:val="en-US" w:eastAsia="zh-CN"/>
              </w:rPr>
              <w:t>1、</w:t>
            </w:r>
            <w:r>
              <w:rPr>
                <w:rFonts w:hint="eastAsia" w:ascii="宋体" w:hAnsi="宋体" w:eastAsia="宋体" w:cs="宋体"/>
                <w:b w:val="0"/>
                <w:bCs w:val="0"/>
                <w:highlight w:val="none"/>
              </w:rPr>
              <w:t>投标方提供的《</w:t>
            </w:r>
            <w:r>
              <w:rPr>
                <w:rFonts w:hint="eastAsia" w:ascii="宋体" w:hAnsi="宋体" w:eastAsia="宋体" w:cs="宋体"/>
                <w:b w:val="0"/>
                <w:bCs w:val="0"/>
                <w:sz w:val="21"/>
                <w:szCs w:val="21"/>
                <w:highlight w:val="none"/>
                <w:lang w:eastAsia="zh-CN"/>
              </w:rPr>
              <w:t>项目</w:t>
            </w:r>
            <w:r>
              <w:rPr>
                <w:rFonts w:hint="eastAsia" w:ascii="宋体" w:hAnsi="宋体" w:eastAsia="宋体" w:cs="宋体"/>
                <w:b w:val="0"/>
                <w:bCs w:val="0"/>
                <w:sz w:val="21"/>
                <w:szCs w:val="21"/>
                <w:highlight w:val="none"/>
                <w:lang w:val="en-US" w:eastAsia="zh-CN"/>
              </w:rPr>
              <w:t>实施及</w:t>
            </w:r>
            <w:r>
              <w:rPr>
                <w:rFonts w:hint="eastAsia" w:ascii="宋体" w:hAnsi="宋体" w:eastAsia="宋体" w:cs="宋体"/>
                <w:b w:val="0"/>
                <w:bCs w:val="0"/>
                <w:sz w:val="21"/>
                <w:szCs w:val="21"/>
                <w:highlight w:val="none"/>
                <w:lang w:eastAsia="zh-CN"/>
              </w:rPr>
              <w:t>保障方案</w:t>
            </w:r>
            <w:r>
              <w:rPr>
                <w:rFonts w:hint="eastAsia" w:ascii="宋体" w:hAnsi="宋体" w:eastAsia="宋体" w:cs="宋体"/>
                <w:b w:val="0"/>
                <w:bCs w:val="0"/>
                <w:highlight w:val="none"/>
              </w:rPr>
              <w:t>》包含上述</w:t>
            </w:r>
            <w:r>
              <w:rPr>
                <w:rFonts w:hint="eastAsia" w:ascii="宋体" w:hAnsi="宋体" w:eastAsia="宋体" w:cs="宋体"/>
                <w:b w:val="0"/>
                <w:bCs w:val="0"/>
                <w:highlight w:val="none"/>
                <w:lang w:val="en-US" w:eastAsia="zh-CN"/>
              </w:rPr>
              <w:t>2</w:t>
            </w:r>
            <w:r>
              <w:rPr>
                <w:rFonts w:hint="eastAsia" w:ascii="宋体" w:hAnsi="宋体" w:eastAsia="宋体" w:cs="宋体"/>
                <w:b w:val="0"/>
                <w:bCs w:val="0"/>
                <w:highlight w:val="none"/>
              </w:rPr>
              <w:t>项考察内容的，得</w:t>
            </w:r>
            <w:r>
              <w:rPr>
                <w:rFonts w:hint="eastAsia" w:ascii="宋体" w:hAnsi="宋体" w:cs="宋体"/>
                <w:b w:val="0"/>
                <w:bCs w:val="0"/>
                <w:highlight w:val="none"/>
                <w:lang w:val="en-US" w:eastAsia="zh-CN"/>
              </w:rPr>
              <w:t>3</w:t>
            </w:r>
            <w:r>
              <w:rPr>
                <w:rFonts w:hint="eastAsia" w:ascii="宋体" w:hAnsi="宋体" w:eastAsia="宋体" w:cs="宋体"/>
                <w:b w:val="0"/>
                <w:bCs w:val="0"/>
                <w:highlight w:val="none"/>
              </w:rPr>
              <w:t>分；缺少一项扣</w:t>
            </w:r>
            <w:r>
              <w:rPr>
                <w:rFonts w:hint="eastAsia" w:ascii="宋体" w:hAnsi="宋体" w:cs="宋体"/>
                <w:b w:val="0"/>
                <w:bCs w:val="0"/>
                <w:highlight w:val="none"/>
                <w:lang w:val="en-US" w:eastAsia="zh-CN"/>
              </w:rPr>
              <w:t>1.5</w:t>
            </w:r>
            <w:r>
              <w:rPr>
                <w:rFonts w:hint="eastAsia" w:ascii="宋体" w:hAnsi="宋体" w:eastAsia="宋体" w:cs="宋体"/>
                <w:b w:val="0"/>
                <w:bCs w:val="0"/>
                <w:highlight w:val="none"/>
              </w:rPr>
              <w:t>分，无《</w:t>
            </w:r>
            <w:r>
              <w:rPr>
                <w:rFonts w:hint="eastAsia" w:ascii="宋体" w:hAnsi="宋体" w:eastAsia="宋体" w:cs="宋体"/>
                <w:b w:val="0"/>
                <w:bCs w:val="0"/>
                <w:sz w:val="21"/>
                <w:szCs w:val="21"/>
                <w:highlight w:val="none"/>
                <w:lang w:eastAsia="zh-CN"/>
              </w:rPr>
              <w:t>项目</w:t>
            </w:r>
            <w:r>
              <w:rPr>
                <w:rFonts w:hint="eastAsia" w:ascii="宋体" w:hAnsi="宋体" w:eastAsia="宋体" w:cs="宋体"/>
                <w:b w:val="0"/>
                <w:bCs w:val="0"/>
                <w:sz w:val="21"/>
                <w:szCs w:val="21"/>
                <w:highlight w:val="none"/>
                <w:lang w:val="en-US" w:eastAsia="zh-CN"/>
              </w:rPr>
              <w:t>实施及</w:t>
            </w:r>
            <w:r>
              <w:rPr>
                <w:rFonts w:hint="eastAsia" w:ascii="宋体" w:hAnsi="宋体" w:eastAsia="宋体" w:cs="宋体"/>
                <w:b w:val="0"/>
                <w:bCs w:val="0"/>
                <w:sz w:val="21"/>
                <w:szCs w:val="21"/>
                <w:highlight w:val="none"/>
                <w:lang w:eastAsia="zh-CN"/>
              </w:rPr>
              <w:t>保障方案</w:t>
            </w:r>
            <w:r>
              <w:rPr>
                <w:rFonts w:hint="eastAsia" w:ascii="宋体" w:hAnsi="宋体" w:eastAsia="宋体" w:cs="宋体"/>
                <w:b w:val="0"/>
                <w:bCs w:val="0"/>
                <w:highlight w:val="none"/>
              </w:rPr>
              <w:t xml:space="preserve">》本项不得分 </w:t>
            </w:r>
            <w:r>
              <w:rPr>
                <w:rFonts w:hint="eastAsia" w:ascii="宋体" w:hAnsi="宋体" w:cs="宋体"/>
                <w:b w:val="0"/>
                <w:bCs w:val="0"/>
                <w:highlight w:val="none"/>
                <w:lang w:eastAsia="zh-CN"/>
              </w:rPr>
              <w:t>。</w:t>
            </w:r>
          </w:p>
          <w:p>
            <w:pPr>
              <w:pStyle w:val="2"/>
              <w:ind w:left="0" w:leftChars="0" w:firstLine="420" w:firstLineChars="200"/>
              <w:rPr>
                <w:rFonts w:hint="eastAsia" w:ascii="宋体" w:hAnsi="宋体" w:eastAsia="宋体" w:cs="宋体"/>
                <w:b w:val="0"/>
                <w:bCs w:val="0"/>
                <w:kern w:val="2"/>
                <w:sz w:val="21"/>
                <w:szCs w:val="24"/>
                <w:highlight w:val="none"/>
                <w:lang w:val="en-US" w:eastAsia="zh-CN" w:bidi="ar-SA"/>
              </w:rPr>
            </w:pPr>
            <w:r>
              <w:rPr>
                <w:rFonts w:hint="eastAsia" w:ascii="宋体" w:hAnsi="宋体" w:eastAsia="宋体" w:cs="宋体"/>
                <w:b w:val="0"/>
                <w:bCs w:val="0"/>
                <w:kern w:val="2"/>
                <w:sz w:val="21"/>
                <w:szCs w:val="24"/>
                <w:highlight w:val="none"/>
                <w:lang w:val="en-US" w:eastAsia="zh-CN" w:bidi="ar-SA"/>
              </w:rPr>
              <w:t>2、在上述基础上，由评审委员会对具体响应内容进一步评审：</w:t>
            </w:r>
          </w:p>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（1）优评审标准：</w:t>
            </w:r>
            <w:r>
              <w:rPr>
                <w:rFonts w:hint="eastAsia" w:ascii="宋体" w:hAnsi="宋体" w:eastAsia="宋体" w:cs="宋体"/>
                <w:sz w:val="21"/>
                <w:szCs w:val="21"/>
                <w:highlight w:val="none"/>
              </w:rPr>
              <w:t>实施方案合理可行</w:t>
            </w:r>
            <w:r>
              <w:rPr>
                <w:rFonts w:hint="eastAsia" w:ascii="宋体" w:hAnsi="宋体" w:eastAsia="宋体" w:cs="宋体"/>
                <w:sz w:val="21"/>
                <w:szCs w:val="21"/>
                <w:highlight w:val="none"/>
                <w:lang w:eastAsia="zh-CN"/>
              </w:rPr>
              <w:t>，</w:t>
            </w:r>
            <w:r>
              <w:rPr>
                <w:color w:val="000000"/>
                <w:szCs w:val="21"/>
              </w:rPr>
              <w:t>针对性及操作性强</w:t>
            </w:r>
            <w:r>
              <w:rPr>
                <w:rFonts w:hint="eastAsia" w:ascii="宋体" w:hAnsi="宋体" w:eastAsia="宋体" w:cs="宋体"/>
                <w:b w:val="0"/>
                <w:bCs w:val="0"/>
                <w:highlight w:val="none"/>
              </w:rPr>
              <w:t xml:space="preserve">。 </w:t>
            </w:r>
          </w:p>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（2）良评审标准：</w:t>
            </w:r>
            <w:r>
              <w:rPr>
                <w:rFonts w:hint="eastAsia" w:ascii="宋体" w:hAnsi="宋体" w:eastAsia="宋体" w:cs="宋体"/>
                <w:sz w:val="21"/>
                <w:szCs w:val="21"/>
                <w:highlight w:val="none"/>
              </w:rPr>
              <w:t>实施方案基本合理</w:t>
            </w:r>
            <w:r>
              <w:rPr>
                <w:rFonts w:hint="eastAsia" w:ascii="宋体" w:hAnsi="宋体" w:eastAsia="宋体" w:cs="宋体"/>
                <w:sz w:val="21"/>
                <w:szCs w:val="21"/>
                <w:highlight w:val="none"/>
                <w:lang w:eastAsia="zh-CN"/>
              </w:rPr>
              <w:t>，</w:t>
            </w:r>
            <w:r>
              <w:rPr>
                <w:color w:val="000000"/>
                <w:szCs w:val="21"/>
              </w:rPr>
              <w:t>具有较强的针对性及操作性</w:t>
            </w:r>
            <w:r>
              <w:rPr>
                <w:rFonts w:hint="eastAsia" w:ascii="宋体" w:hAnsi="宋体" w:eastAsia="宋体" w:cs="宋体"/>
                <w:b w:val="0"/>
                <w:bCs w:val="0"/>
                <w:highlight w:val="none"/>
              </w:rPr>
              <w:t xml:space="preserve">。 </w:t>
            </w:r>
          </w:p>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（3）中评审标准：</w:t>
            </w:r>
            <w:r>
              <w:rPr>
                <w:rFonts w:hint="eastAsia" w:ascii="宋体" w:hAnsi="宋体" w:eastAsia="宋体" w:cs="宋体"/>
                <w:sz w:val="21"/>
                <w:szCs w:val="21"/>
                <w:highlight w:val="none"/>
              </w:rPr>
              <w:t>实施方案</w:t>
            </w:r>
            <w:r>
              <w:rPr>
                <w:rFonts w:hint="eastAsia" w:ascii="宋体" w:hAnsi="宋体" w:cs="宋体"/>
                <w:sz w:val="21"/>
                <w:szCs w:val="21"/>
                <w:highlight w:val="none"/>
                <w:lang w:eastAsia="zh-CN"/>
              </w:rPr>
              <w:t>较</w:t>
            </w:r>
            <w:r>
              <w:rPr>
                <w:rFonts w:hint="eastAsia" w:ascii="宋体" w:hAnsi="宋体" w:eastAsia="宋体" w:cs="宋体"/>
                <w:sz w:val="21"/>
                <w:szCs w:val="21"/>
                <w:highlight w:val="none"/>
              </w:rPr>
              <w:t>明确</w:t>
            </w:r>
            <w:r>
              <w:rPr>
                <w:rFonts w:hint="eastAsia" w:ascii="宋体" w:hAnsi="宋体" w:eastAsia="宋体" w:cs="宋体"/>
                <w:sz w:val="21"/>
                <w:szCs w:val="21"/>
                <w:highlight w:val="none"/>
                <w:lang w:eastAsia="zh-CN"/>
              </w:rPr>
              <w:t>，</w:t>
            </w:r>
            <w:r>
              <w:rPr>
                <w:rFonts w:hint="eastAsia" w:ascii="宋体" w:hAnsi="宋体" w:eastAsia="宋体" w:cs="宋体"/>
                <w:b w:val="0"/>
                <w:bCs w:val="0"/>
                <w:highlight w:val="none"/>
                <w:lang w:val="en-US" w:eastAsia="zh-CN"/>
              </w:rPr>
              <w:t>具</w:t>
            </w:r>
            <w:r>
              <w:rPr>
                <w:color w:val="000000"/>
                <w:szCs w:val="21"/>
              </w:rPr>
              <w:t>有一定的针对性及操作性</w:t>
            </w:r>
            <w:r>
              <w:rPr>
                <w:rFonts w:hint="eastAsia" w:ascii="宋体" w:hAnsi="宋体" w:eastAsia="宋体" w:cs="宋体"/>
                <w:b w:val="0"/>
                <w:bCs w:val="0"/>
                <w:highlight w:val="none"/>
              </w:rPr>
              <w:t xml:space="preserve">。  </w:t>
            </w:r>
          </w:p>
          <w:p>
            <w:pPr>
              <w:widowControl/>
              <w:spacing w:line="320" w:lineRule="atLeast"/>
              <w:jc w:val="left"/>
              <w:rPr>
                <w:rFonts w:ascii="宋体" w:hAnsi="宋体" w:cs="宋体"/>
                <w:color w:val="000000"/>
                <w:sz w:val="21"/>
                <w:szCs w:val="21"/>
                <w:highlight w:val="none"/>
              </w:rPr>
            </w:pPr>
            <w:r>
              <w:rPr>
                <w:rFonts w:hint="eastAsia" w:ascii="宋体" w:hAnsi="宋体" w:eastAsia="宋体" w:cs="宋体"/>
                <w:b w:val="0"/>
                <w:bCs w:val="0"/>
                <w:highlight w:val="none"/>
              </w:rPr>
              <w:t>评价为优</w:t>
            </w:r>
            <w:r>
              <w:rPr>
                <w:rFonts w:hint="eastAsia" w:ascii="宋体" w:hAnsi="宋体" w:eastAsia="宋体" w:cs="宋体"/>
                <w:b w:val="0"/>
                <w:bCs w:val="0"/>
                <w:highlight w:val="none"/>
                <w:lang w:val="en-US" w:eastAsia="zh-CN"/>
              </w:rPr>
              <w:t>得</w:t>
            </w:r>
            <w:r>
              <w:rPr>
                <w:rFonts w:hint="eastAsia" w:ascii="宋体" w:hAnsi="宋体" w:eastAsia="宋体" w:cs="宋体"/>
                <w:b w:val="0"/>
                <w:bCs w:val="0"/>
                <w:highlight w:val="none"/>
              </w:rPr>
              <w:t xml:space="preserve"> </w:t>
            </w:r>
            <w:r>
              <w:rPr>
                <w:rFonts w:hint="eastAsia" w:ascii="宋体" w:hAnsi="宋体" w:eastAsia="宋体" w:cs="宋体"/>
                <w:b w:val="0"/>
                <w:bCs w:val="0"/>
                <w:highlight w:val="none"/>
                <w:lang w:val="en-US" w:eastAsia="zh-CN"/>
              </w:rPr>
              <w:t>3</w:t>
            </w:r>
            <w:r>
              <w:rPr>
                <w:rFonts w:hint="eastAsia" w:ascii="宋体" w:hAnsi="宋体" w:eastAsia="宋体" w:cs="宋体"/>
                <w:b w:val="0"/>
                <w:bCs w:val="0"/>
                <w:highlight w:val="none"/>
              </w:rPr>
              <w:t xml:space="preserve"> 分；评价为</w:t>
            </w:r>
            <w:r>
              <w:rPr>
                <w:rFonts w:hint="eastAsia" w:ascii="宋体" w:hAnsi="宋体" w:eastAsia="宋体" w:cs="宋体"/>
                <w:b w:val="0"/>
                <w:bCs w:val="0"/>
                <w:highlight w:val="none"/>
                <w:lang w:val="en-US" w:eastAsia="zh-CN"/>
              </w:rPr>
              <w:t>良</w:t>
            </w:r>
            <w:r>
              <w:rPr>
                <w:rFonts w:hint="eastAsia" w:ascii="宋体" w:hAnsi="宋体" w:eastAsia="宋体" w:cs="宋体"/>
                <w:b w:val="0"/>
                <w:bCs w:val="0"/>
                <w:highlight w:val="none"/>
              </w:rPr>
              <w:t>得 2 分；评价为</w:t>
            </w:r>
            <w:r>
              <w:rPr>
                <w:rFonts w:hint="eastAsia" w:ascii="宋体" w:hAnsi="宋体" w:eastAsia="宋体" w:cs="宋体"/>
                <w:b w:val="0"/>
                <w:bCs w:val="0"/>
                <w:highlight w:val="none"/>
                <w:lang w:val="en-US" w:eastAsia="zh-CN"/>
              </w:rPr>
              <w:t>中</w:t>
            </w:r>
            <w:r>
              <w:rPr>
                <w:rFonts w:hint="eastAsia" w:ascii="宋体" w:hAnsi="宋体" w:eastAsia="宋体" w:cs="宋体"/>
                <w:b w:val="0"/>
                <w:bCs w:val="0"/>
                <w:highlight w:val="none"/>
              </w:rPr>
              <w:t>得 1 分</w:t>
            </w:r>
            <w:r>
              <w:rPr>
                <w:rFonts w:hint="eastAsia" w:ascii="宋体" w:hAnsi="宋体" w:eastAsia="宋体" w:cs="宋体"/>
                <w:b w:val="0"/>
                <w:bCs w:val="0"/>
                <w:highlight w:val="none"/>
                <w:lang w:eastAsia="zh-CN"/>
              </w:rPr>
              <w:t>。</w:t>
            </w:r>
          </w:p>
        </w:tc>
        <w:tc>
          <w:tcPr>
            <w:tcW w:w="82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7" w:hRule="atLeast"/>
          <w:jc w:val="center"/>
        </w:trPr>
        <w:tc>
          <w:tcPr>
            <w:tcW w:w="4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2</w:t>
            </w:r>
          </w:p>
        </w:tc>
        <w:tc>
          <w:tcPr>
            <w:tcW w:w="731" w:type="dxa"/>
            <w:vAlign w:val="center"/>
          </w:tcPr>
          <w:p>
            <w:pPr>
              <w:jc w:val="center"/>
              <w:rPr>
                <w:rStyle w:val="24"/>
                <w:rFonts w:ascii="宋体" w:hAnsi="宋体" w:cs="宋体"/>
                <w:bCs w:val="0"/>
                <w:color w:val="000000"/>
                <w:sz w:val="21"/>
                <w:szCs w:val="21"/>
                <w:highlight w:val="none"/>
              </w:rPr>
            </w:pPr>
            <w:r>
              <w:rPr>
                <w:szCs w:val="21"/>
              </w:rPr>
              <w:t>应急保障</w:t>
            </w:r>
          </w:p>
        </w:tc>
        <w:tc>
          <w:tcPr>
            <w:tcW w:w="8477" w:type="dxa"/>
            <w:vAlign w:val="center"/>
          </w:tcPr>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 xml:space="preserve">（一）评审内容： </w:t>
            </w:r>
          </w:p>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考察投标人所提供</w:t>
            </w:r>
            <w:r>
              <w:rPr>
                <w:rFonts w:hint="eastAsia" w:ascii="宋体" w:hAnsi="宋体" w:eastAsia="宋体" w:cs="宋体"/>
                <w:b w:val="0"/>
                <w:bCs w:val="0"/>
                <w:highlight w:val="none"/>
                <w:lang w:val="en-US" w:eastAsia="zh-CN"/>
              </w:rPr>
              <w:t>应急措施</w:t>
            </w:r>
            <w:r>
              <w:rPr>
                <w:rFonts w:hint="eastAsia" w:ascii="宋体" w:hAnsi="宋体" w:eastAsia="宋体" w:cs="宋体"/>
                <w:b w:val="0"/>
                <w:bCs w:val="0"/>
                <w:highlight w:val="none"/>
              </w:rPr>
              <w:t>、</w:t>
            </w:r>
            <w:r>
              <w:rPr>
                <w:color w:val="000000"/>
                <w:szCs w:val="21"/>
              </w:rPr>
              <w:t>故障或技术支持响应方案</w:t>
            </w:r>
            <w:r>
              <w:rPr>
                <w:rFonts w:hint="eastAsia"/>
                <w:color w:val="000000"/>
                <w:szCs w:val="21"/>
                <w:lang w:eastAsia="zh-CN"/>
              </w:rPr>
              <w:t>。</w:t>
            </w:r>
            <w:r>
              <w:rPr>
                <w:rFonts w:hint="eastAsia" w:ascii="宋体" w:hAnsi="宋体" w:eastAsia="宋体" w:cs="宋体"/>
                <w:b w:val="0"/>
                <w:bCs w:val="0"/>
                <w:highlight w:val="none"/>
              </w:rPr>
              <w:t xml:space="preserve"> </w:t>
            </w:r>
          </w:p>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1、详细分析服务过程中有可能出现的突发事件</w:t>
            </w:r>
            <w:r>
              <w:rPr>
                <w:rFonts w:hint="eastAsia" w:ascii="宋体" w:hAnsi="宋体" w:eastAsia="宋体" w:cs="宋体"/>
                <w:b w:val="0"/>
                <w:bCs w:val="0"/>
                <w:highlight w:val="none"/>
                <w:lang w:val="en-US" w:eastAsia="zh-CN"/>
              </w:rPr>
              <w:t>并提供应急措施</w:t>
            </w:r>
            <w:r>
              <w:rPr>
                <w:rFonts w:hint="eastAsia" w:ascii="宋体" w:hAnsi="宋体" w:eastAsia="宋体" w:cs="宋体"/>
                <w:b w:val="0"/>
                <w:bCs w:val="0"/>
                <w:highlight w:val="none"/>
              </w:rPr>
              <w:t xml:space="preserve">； </w:t>
            </w:r>
          </w:p>
          <w:p>
            <w:pPr>
              <w:widowControl/>
              <w:spacing w:line="320" w:lineRule="atLeast"/>
              <w:jc w:val="left"/>
              <w:rPr>
                <w:rFonts w:hint="eastAsia" w:ascii="宋体" w:hAnsi="宋体" w:eastAsia="宋体" w:cs="宋体"/>
                <w:b w:val="0"/>
                <w:bCs w:val="0"/>
                <w:highlight w:val="none"/>
                <w:lang w:eastAsia="zh-CN"/>
              </w:rPr>
            </w:pPr>
            <w:r>
              <w:rPr>
                <w:rFonts w:hint="eastAsia" w:ascii="宋体" w:hAnsi="宋体" w:eastAsia="宋体" w:cs="宋体"/>
                <w:b w:val="0"/>
                <w:bCs w:val="0"/>
                <w:highlight w:val="none"/>
              </w:rPr>
              <w:t>2、</w:t>
            </w:r>
            <w:r>
              <w:rPr>
                <w:color w:val="000000"/>
                <w:szCs w:val="21"/>
              </w:rPr>
              <w:t>故障或技术支持响应方案</w:t>
            </w:r>
            <w:r>
              <w:rPr>
                <w:rFonts w:hint="eastAsia"/>
                <w:color w:val="000000"/>
                <w:szCs w:val="21"/>
                <w:lang w:eastAsia="zh-CN"/>
              </w:rPr>
              <w:t>。</w:t>
            </w:r>
          </w:p>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 xml:space="preserve">（二）评分标准： </w:t>
            </w:r>
          </w:p>
          <w:p>
            <w:pPr>
              <w:widowControl/>
              <w:spacing w:line="320" w:lineRule="atLeast"/>
              <w:ind w:firstLine="420" w:firstLineChars="200"/>
              <w:jc w:val="left"/>
              <w:rPr>
                <w:rFonts w:hint="eastAsia" w:ascii="宋体" w:hAnsi="宋体" w:cs="宋体"/>
                <w:b w:val="0"/>
                <w:bCs w:val="0"/>
                <w:highlight w:val="none"/>
                <w:lang w:eastAsia="zh-CN"/>
              </w:rPr>
            </w:pPr>
            <w:r>
              <w:rPr>
                <w:rFonts w:hint="eastAsia" w:ascii="宋体" w:hAnsi="宋体" w:cs="宋体"/>
                <w:b w:val="0"/>
                <w:bCs w:val="0"/>
                <w:highlight w:val="none"/>
                <w:lang w:val="en-US" w:eastAsia="zh-CN"/>
              </w:rPr>
              <w:t>1、</w:t>
            </w:r>
            <w:r>
              <w:rPr>
                <w:rFonts w:hint="eastAsia" w:ascii="宋体" w:hAnsi="宋体" w:eastAsia="宋体" w:cs="宋体"/>
                <w:b w:val="0"/>
                <w:bCs w:val="0"/>
                <w:highlight w:val="none"/>
              </w:rPr>
              <w:t>投标方提供的《</w:t>
            </w:r>
            <w:r>
              <w:rPr>
                <w:rFonts w:hint="eastAsia" w:ascii="宋体" w:hAnsi="宋体" w:eastAsia="宋体" w:cs="宋体"/>
                <w:b w:val="0"/>
                <w:bCs w:val="0"/>
                <w:highlight w:val="none"/>
                <w:lang w:val="en-US" w:eastAsia="zh-CN"/>
              </w:rPr>
              <w:t>应急措施</w:t>
            </w:r>
            <w:r>
              <w:rPr>
                <w:rFonts w:hint="eastAsia" w:ascii="宋体" w:hAnsi="宋体" w:eastAsia="宋体" w:cs="宋体"/>
                <w:b w:val="0"/>
                <w:bCs w:val="0"/>
                <w:highlight w:val="none"/>
              </w:rPr>
              <w:t>、</w:t>
            </w:r>
            <w:r>
              <w:rPr>
                <w:color w:val="000000"/>
                <w:szCs w:val="21"/>
              </w:rPr>
              <w:t>故障或技术支持响应方案</w:t>
            </w:r>
            <w:r>
              <w:rPr>
                <w:rFonts w:hint="eastAsia" w:ascii="宋体" w:hAnsi="宋体" w:eastAsia="宋体" w:cs="宋体"/>
                <w:b w:val="0"/>
                <w:bCs w:val="0"/>
                <w:highlight w:val="none"/>
              </w:rPr>
              <w:t>》包含上述</w:t>
            </w:r>
            <w:r>
              <w:rPr>
                <w:rFonts w:hint="eastAsia" w:ascii="宋体" w:hAnsi="宋体" w:eastAsia="宋体" w:cs="宋体"/>
                <w:b w:val="0"/>
                <w:bCs w:val="0"/>
                <w:highlight w:val="none"/>
                <w:lang w:val="en-US" w:eastAsia="zh-CN"/>
              </w:rPr>
              <w:t>2</w:t>
            </w:r>
            <w:r>
              <w:rPr>
                <w:rFonts w:hint="eastAsia" w:ascii="宋体" w:hAnsi="宋体" w:eastAsia="宋体" w:cs="宋体"/>
                <w:b w:val="0"/>
                <w:bCs w:val="0"/>
                <w:highlight w:val="none"/>
              </w:rPr>
              <w:t>项考察内容的，得</w:t>
            </w:r>
            <w:r>
              <w:rPr>
                <w:rFonts w:hint="eastAsia" w:ascii="宋体" w:hAnsi="宋体" w:cs="宋体"/>
                <w:b w:val="0"/>
                <w:bCs w:val="0"/>
                <w:highlight w:val="none"/>
                <w:lang w:val="en-US" w:eastAsia="zh-CN"/>
              </w:rPr>
              <w:t>3</w:t>
            </w:r>
            <w:r>
              <w:rPr>
                <w:rFonts w:hint="eastAsia" w:ascii="宋体" w:hAnsi="宋体" w:eastAsia="宋体" w:cs="宋体"/>
                <w:b w:val="0"/>
                <w:bCs w:val="0"/>
                <w:highlight w:val="none"/>
              </w:rPr>
              <w:t xml:space="preserve"> 分；缺少一项扣</w:t>
            </w:r>
            <w:r>
              <w:rPr>
                <w:rFonts w:hint="eastAsia" w:ascii="宋体" w:hAnsi="宋体" w:cs="宋体"/>
                <w:b w:val="0"/>
                <w:bCs w:val="0"/>
                <w:highlight w:val="none"/>
                <w:lang w:val="en-US" w:eastAsia="zh-CN"/>
              </w:rPr>
              <w:t>1.5</w:t>
            </w:r>
            <w:r>
              <w:rPr>
                <w:rFonts w:hint="eastAsia" w:ascii="宋体" w:hAnsi="宋体" w:eastAsia="宋体" w:cs="宋体"/>
                <w:b w:val="0"/>
                <w:bCs w:val="0"/>
                <w:highlight w:val="none"/>
              </w:rPr>
              <w:t>分，无《</w:t>
            </w:r>
            <w:r>
              <w:rPr>
                <w:rFonts w:hint="eastAsia" w:ascii="宋体" w:hAnsi="宋体" w:eastAsia="宋体" w:cs="宋体"/>
                <w:b w:val="0"/>
                <w:bCs w:val="0"/>
                <w:highlight w:val="none"/>
                <w:lang w:val="en-US" w:eastAsia="zh-CN"/>
              </w:rPr>
              <w:t>应急措施</w:t>
            </w:r>
            <w:r>
              <w:rPr>
                <w:rFonts w:hint="eastAsia" w:ascii="宋体" w:hAnsi="宋体" w:eastAsia="宋体" w:cs="宋体"/>
                <w:b w:val="0"/>
                <w:bCs w:val="0"/>
                <w:highlight w:val="none"/>
              </w:rPr>
              <w:t>、</w:t>
            </w:r>
            <w:r>
              <w:rPr>
                <w:color w:val="000000"/>
                <w:szCs w:val="21"/>
              </w:rPr>
              <w:t>故障或技术支持响应方案</w:t>
            </w:r>
            <w:r>
              <w:rPr>
                <w:rFonts w:hint="eastAsia" w:ascii="宋体" w:hAnsi="宋体" w:eastAsia="宋体" w:cs="宋体"/>
                <w:b w:val="0"/>
                <w:bCs w:val="0"/>
                <w:highlight w:val="none"/>
              </w:rPr>
              <w:t xml:space="preserve">》本项不得分 </w:t>
            </w:r>
            <w:r>
              <w:rPr>
                <w:rFonts w:hint="eastAsia" w:ascii="宋体" w:hAnsi="宋体" w:cs="宋体"/>
                <w:b w:val="0"/>
                <w:bCs w:val="0"/>
                <w:highlight w:val="none"/>
                <w:lang w:eastAsia="zh-CN"/>
              </w:rPr>
              <w:t>。</w:t>
            </w:r>
          </w:p>
          <w:p>
            <w:pPr>
              <w:widowControl/>
              <w:spacing w:line="320" w:lineRule="atLeast"/>
              <w:ind w:firstLine="420" w:firstLineChars="200"/>
              <w:jc w:val="left"/>
              <w:rPr>
                <w:rFonts w:hint="eastAsia" w:ascii="宋体" w:hAnsi="宋体" w:eastAsia="宋体" w:cs="宋体"/>
                <w:b w:val="0"/>
                <w:bCs w:val="0"/>
                <w:highlight w:val="none"/>
              </w:rPr>
            </w:pPr>
            <w:r>
              <w:rPr>
                <w:rFonts w:hint="eastAsia" w:ascii="宋体" w:hAnsi="宋体" w:eastAsia="宋体" w:cs="宋体"/>
                <w:b w:val="0"/>
                <w:bCs w:val="0"/>
                <w:kern w:val="2"/>
                <w:sz w:val="21"/>
                <w:szCs w:val="24"/>
                <w:highlight w:val="none"/>
                <w:lang w:val="en-US" w:eastAsia="zh-CN" w:bidi="ar-SA"/>
              </w:rPr>
              <w:t>2、在上述基础上，由评审委员会对具体响应内容进一步评审：</w:t>
            </w:r>
            <w:r>
              <w:rPr>
                <w:rFonts w:hint="eastAsia" w:ascii="宋体" w:hAnsi="宋体" w:eastAsia="宋体" w:cs="宋体"/>
                <w:b w:val="0"/>
                <w:bCs w:val="0"/>
                <w:highlight w:val="none"/>
              </w:rPr>
              <w:t xml:space="preserve"> </w:t>
            </w:r>
          </w:p>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（1）优评审标准：方案</w:t>
            </w:r>
            <w:r>
              <w:rPr>
                <w:rFonts w:hint="eastAsia" w:ascii="宋体" w:hAnsi="宋体" w:eastAsia="宋体" w:cs="宋体"/>
                <w:b w:val="0"/>
                <w:bCs w:val="0"/>
                <w:highlight w:val="none"/>
                <w:lang w:val="en-US" w:eastAsia="zh-CN"/>
              </w:rPr>
              <w:t>内容</w:t>
            </w:r>
            <w:r>
              <w:rPr>
                <w:color w:val="000000"/>
                <w:szCs w:val="21"/>
              </w:rPr>
              <w:t>详细合理</w:t>
            </w:r>
            <w:r>
              <w:rPr>
                <w:rFonts w:hint="eastAsia" w:ascii="宋体" w:hAnsi="宋体" w:eastAsia="宋体" w:cs="宋体"/>
                <w:b w:val="0"/>
                <w:bCs w:val="0"/>
                <w:highlight w:val="none"/>
              </w:rPr>
              <w:t>、</w:t>
            </w:r>
            <w:r>
              <w:rPr>
                <w:color w:val="000000"/>
                <w:szCs w:val="21"/>
              </w:rPr>
              <w:t>针对性及操作性强</w:t>
            </w:r>
            <w:r>
              <w:rPr>
                <w:rFonts w:hint="eastAsia" w:ascii="宋体" w:hAnsi="宋体" w:eastAsia="宋体" w:cs="宋体"/>
                <w:b w:val="0"/>
                <w:bCs w:val="0"/>
                <w:highlight w:val="none"/>
              </w:rPr>
              <w:t xml:space="preserve">。 </w:t>
            </w:r>
          </w:p>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（2）良评审标准：方案内容较</w:t>
            </w:r>
            <w:r>
              <w:rPr>
                <w:rFonts w:hint="eastAsia" w:ascii="宋体" w:hAnsi="宋体" w:eastAsia="宋体" w:cs="宋体"/>
                <w:b w:val="0"/>
                <w:bCs w:val="0"/>
                <w:highlight w:val="none"/>
                <w:lang w:val="en-US" w:eastAsia="zh-CN"/>
              </w:rPr>
              <w:t>为具体</w:t>
            </w:r>
            <w:r>
              <w:rPr>
                <w:rFonts w:hint="eastAsia" w:ascii="宋体" w:hAnsi="宋体" w:eastAsia="宋体" w:cs="宋体"/>
                <w:b w:val="0"/>
                <w:bCs w:val="0"/>
                <w:highlight w:val="none"/>
              </w:rPr>
              <w:t>完整、</w:t>
            </w:r>
            <w:r>
              <w:rPr>
                <w:color w:val="000000"/>
                <w:szCs w:val="21"/>
              </w:rPr>
              <w:t>具有较强的针对性及操作性</w:t>
            </w:r>
            <w:r>
              <w:rPr>
                <w:rFonts w:hint="eastAsia" w:ascii="宋体" w:hAnsi="宋体" w:eastAsia="宋体" w:cs="宋体"/>
                <w:b w:val="0"/>
                <w:bCs w:val="0"/>
                <w:highlight w:val="none"/>
              </w:rPr>
              <w:t xml:space="preserve">。 </w:t>
            </w:r>
          </w:p>
          <w:p>
            <w:pPr>
              <w:widowControl/>
              <w:spacing w:line="320" w:lineRule="atLeast"/>
              <w:jc w:val="left"/>
              <w:rPr>
                <w:rFonts w:hint="eastAsia" w:ascii="宋体" w:hAnsi="宋体" w:eastAsia="宋体" w:cs="宋体"/>
                <w:b w:val="0"/>
                <w:bCs w:val="0"/>
                <w:highlight w:val="none"/>
              </w:rPr>
            </w:pPr>
            <w:r>
              <w:rPr>
                <w:rFonts w:hint="eastAsia" w:ascii="宋体" w:hAnsi="宋体" w:eastAsia="宋体" w:cs="宋体"/>
                <w:b w:val="0"/>
                <w:bCs w:val="0"/>
                <w:highlight w:val="none"/>
              </w:rPr>
              <w:t>（3）中评审标准：方案内容基本完整、</w:t>
            </w:r>
            <w:r>
              <w:rPr>
                <w:rFonts w:hint="eastAsia" w:ascii="宋体" w:hAnsi="宋体" w:eastAsia="宋体" w:cs="宋体"/>
                <w:b w:val="0"/>
                <w:bCs w:val="0"/>
                <w:highlight w:val="none"/>
                <w:lang w:val="en-US" w:eastAsia="zh-CN"/>
              </w:rPr>
              <w:t>具</w:t>
            </w:r>
            <w:r>
              <w:rPr>
                <w:color w:val="000000"/>
                <w:szCs w:val="21"/>
              </w:rPr>
              <w:t>有一定的针对性及操作性</w:t>
            </w:r>
            <w:r>
              <w:rPr>
                <w:rFonts w:hint="eastAsia" w:ascii="宋体" w:hAnsi="宋体" w:eastAsia="宋体" w:cs="宋体"/>
                <w:b w:val="0"/>
                <w:bCs w:val="0"/>
                <w:highlight w:val="none"/>
              </w:rPr>
              <w:t xml:space="preserve">。 </w:t>
            </w:r>
          </w:p>
          <w:p>
            <w:pPr>
              <w:widowControl/>
              <w:spacing w:line="320" w:lineRule="atLeast"/>
              <w:jc w:val="left"/>
              <w:rPr>
                <w:rFonts w:ascii="宋体" w:hAnsi="宋体" w:cs="宋体"/>
                <w:color w:val="000000"/>
                <w:sz w:val="21"/>
                <w:szCs w:val="21"/>
                <w:highlight w:val="none"/>
              </w:rPr>
            </w:pPr>
            <w:r>
              <w:rPr>
                <w:rFonts w:hint="eastAsia" w:ascii="宋体" w:hAnsi="宋体" w:eastAsia="宋体" w:cs="宋体"/>
                <w:b w:val="0"/>
                <w:bCs w:val="0"/>
                <w:highlight w:val="none"/>
              </w:rPr>
              <w:t>评价为优</w:t>
            </w:r>
            <w:r>
              <w:rPr>
                <w:rFonts w:hint="eastAsia" w:ascii="宋体" w:hAnsi="宋体" w:eastAsia="宋体" w:cs="宋体"/>
                <w:b w:val="0"/>
                <w:bCs w:val="0"/>
                <w:highlight w:val="none"/>
                <w:lang w:val="en-US" w:eastAsia="zh-CN"/>
              </w:rPr>
              <w:t>得</w:t>
            </w:r>
            <w:r>
              <w:rPr>
                <w:rFonts w:hint="eastAsia" w:ascii="宋体" w:hAnsi="宋体" w:eastAsia="宋体" w:cs="宋体"/>
                <w:b w:val="0"/>
                <w:bCs w:val="0"/>
                <w:highlight w:val="none"/>
              </w:rPr>
              <w:t xml:space="preserve"> </w:t>
            </w:r>
            <w:r>
              <w:rPr>
                <w:rFonts w:hint="eastAsia" w:ascii="宋体" w:hAnsi="宋体" w:eastAsia="宋体" w:cs="宋体"/>
                <w:b w:val="0"/>
                <w:bCs w:val="0"/>
                <w:highlight w:val="none"/>
                <w:lang w:val="en-US" w:eastAsia="zh-CN"/>
              </w:rPr>
              <w:t>3</w:t>
            </w:r>
            <w:r>
              <w:rPr>
                <w:rFonts w:hint="eastAsia" w:ascii="宋体" w:hAnsi="宋体" w:eastAsia="宋体" w:cs="宋体"/>
                <w:b w:val="0"/>
                <w:bCs w:val="0"/>
                <w:highlight w:val="none"/>
              </w:rPr>
              <w:t xml:space="preserve"> 分；评价为</w:t>
            </w:r>
            <w:r>
              <w:rPr>
                <w:rFonts w:hint="eastAsia" w:ascii="宋体" w:hAnsi="宋体" w:eastAsia="宋体" w:cs="宋体"/>
                <w:b w:val="0"/>
                <w:bCs w:val="0"/>
                <w:highlight w:val="none"/>
                <w:lang w:val="en-US" w:eastAsia="zh-CN"/>
              </w:rPr>
              <w:t>良</w:t>
            </w:r>
            <w:r>
              <w:rPr>
                <w:rFonts w:hint="eastAsia" w:ascii="宋体" w:hAnsi="宋体" w:eastAsia="宋体" w:cs="宋体"/>
                <w:b w:val="0"/>
                <w:bCs w:val="0"/>
                <w:highlight w:val="none"/>
              </w:rPr>
              <w:t>得 2 分；评价为</w:t>
            </w:r>
            <w:r>
              <w:rPr>
                <w:rFonts w:hint="eastAsia" w:ascii="宋体" w:hAnsi="宋体" w:eastAsia="宋体" w:cs="宋体"/>
                <w:b w:val="0"/>
                <w:bCs w:val="0"/>
                <w:highlight w:val="none"/>
                <w:lang w:val="en-US" w:eastAsia="zh-CN"/>
              </w:rPr>
              <w:t>中</w:t>
            </w:r>
            <w:r>
              <w:rPr>
                <w:rFonts w:hint="eastAsia" w:ascii="宋体" w:hAnsi="宋体" w:eastAsia="宋体" w:cs="宋体"/>
                <w:b w:val="0"/>
                <w:bCs w:val="0"/>
                <w:highlight w:val="none"/>
              </w:rPr>
              <w:t>得 1 分</w:t>
            </w:r>
            <w:r>
              <w:rPr>
                <w:rFonts w:hint="eastAsia" w:ascii="宋体" w:hAnsi="宋体" w:eastAsia="宋体" w:cs="宋体"/>
                <w:b w:val="0"/>
                <w:bCs w:val="0"/>
                <w:highlight w:val="none"/>
                <w:lang w:eastAsia="zh-CN"/>
              </w:rPr>
              <w:t>。</w:t>
            </w:r>
          </w:p>
        </w:tc>
        <w:tc>
          <w:tcPr>
            <w:tcW w:w="82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5" w:hRule="atLeast"/>
          <w:jc w:val="center"/>
        </w:trPr>
        <w:tc>
          <w:tcPr>
            <w:tcW w:w="4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3</w:t>
            </w:r>
          </w:p>
        </w:tc>
        <w:tc>
          <w:tcPr>
            <w:tcW w:w="731" w:type="dxa"/>
            <w:vAlign w:val="center"/>
          </w:tcPr>
          <w:p>
            <w:pPr>
              <w:keepNext w:val="0"/>
              <w:keepLines w:val="0"/>
              <w:pageBreakBefore w:val="0"/>
              <w:widowControl w:val="0"/>
              <w:kinsoku/>
              <w:wordWrap/>
              <w:overflowPunct/>
              <w:topLinePunct w:val="0"/>
              <w:bidi w:val="0"/>
              <w:spacing w:line="240" w:lineRule="auto"/>
              <w:jc w:val="center"/>
              <w:textAlignment w:val="auto"/>
              <w:rPr>
                <w:rStyle w:val="24"/>
                <w:rFonts w:ascii="宋体" w:hAnsi="宋体" w:cs="宋体"/>
                <w:bCs w:val="0"/>
                <w:color w:val="000000"/>
                <w:sz w:val="21"/>
                <w:szCs w:val="21"/>
                <w:highlight w:val="none"/>
              </w:rPr>
            </w:pPr>
            <w:r>
              <w:rPr>
                <w:rFonts w:hint="eastAsia" w:ascii="宋体" w:hAnsi="宋体" w:eastAsia="宋体" w:cs="宋体"/>
                <w:b w:val="0"/>
                <w:bCs w:val="0"/>
                <w:spacing w:val="20"/>
                <w:sz w:val="21"/>
                <w:szCs w:val="21"/>
                <w:highlight w:val="none"/>
                <w:lang w:eastAsia="zh-CN"/>
              </w:rPr>
              <w:t>同类业绩情况</w:t>
            </w:r>
          </w:p>
        </w:tc>
        <w:tc>
          <w:tcPr>
            <w:tcW w:w="84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highlight w:val="none"/>
              </w:rPr>
            </w:pPr>
            <w:r>
              <w:rPr>
                <w:rFonts w:hint="eastAsia"/>
                <w:color w:val="000000"/>
                <w:szCs w:val="21"/>
              </w:rPr>
              <w:t>1.</w:t>
            </w:r>
            <w:r>
              <w:rPr>
                <w:color w:val="000000"/>
                <w:szCs w:val="21"/>
              </w:rPr>
              <w:t>评审标准：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投标人提供近</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年（自20</w:t>
            </w:r>
            <w:r>
              <w:rPr>
                <w:rFonts w:hint="eastAsia" w:ascii="宋体" w:hAnsi="宋体" w:eastAsia="宋体" w:cs="宋体"/>
                <w:color w:val="000000"/>
                <w:sz w:val="21"/>
                <w:szCs w:val="21"/>
                <w:highlight w:val="none"/>
                <w:lang w:val="en-US" w:eastAsia="zh-CN"/>
              </w:rPr>
              <w:t>2</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年1月1日起至本项目投标截止日止，以证明文件落款日期为准）的类似项目业绩情况。</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color w:val="000000"/>
                <w:szCs w:val="21"/>
              </w:rPr>
            </w:pPr>
            <w:r>
              <w:rPr>
                <w:color w:val="000000"/>
                <w:szCs w:val="21"/>
              </w:rPr>
              <w:t>每提供1个得</w:t>
            </w:r>
            <w:r>
              <w:rPr>
                <w:rFonts w:hint="eastAsia"/>
                <w:color w:val="000000"/>
                <w:szCs w:val="21"/>
                <w:lang w:val="en-US" w:eastAsia="zh-CN"/>
              </w:rPr>
              <w:t>2</w:t>
            </w:r>
            <w:r>
              <w:rPr>
                <w:color w:val="000000"/>
                <w:szCs w:val="21"/>
              </w:rPr>
              <w:t>分，提供</w:t>
            </w:r>
            <w:r>
              <w:rPr>
                <w:rFonts w:hint="eastAsia"/>
                <w:color w:val="000000"/>
                <w:szCs w:val="21"/>
                <w:lang w:val="en-US" w:eastAsia="zh-CN"/>
              </w:rPr>
              <w:t>5</w:t>
            </w:r>
            <w:r>
              <w:rPr>
                <w:color w:val="000000"/>
                <w:szCs w:val="21"/>
              </w:rPr>
              <w:t>个类似业绩得满分</w:t>
            </w:r>
            <w:r>
              <w:rPr>
                <w:rFonts w:hint="eastAsia"/>
                <w:color w:val="000000"/>
                <w:szCs w:val="21"/>
                <w:lang w:val="en-US" w:eastAsia="zh-CN"/>
              </w:rPr>
              <w:t>10</w:t>
            </w:r>
            <w:r>
              <w:rPr>
                <w:color w:val="000000"/>
                <w:szCs w:val="21"/>
              </w:rPr>
              <w:t>分，未提供的不得分。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color w:val="000000"/>
                <w:szCs w:val="21"/>
              </w:rPr>
            </w:pPr>
            <w:r>
              <w:rPr>
                <w:color w:val="000000"/>
                <w:szCs w:val="21"/>
              </w:rPr>
              <w:t>2.证明文件：</w:t>
            </w:r>
          </w:p>
          <w:p>
            <w:pPr>
              <w:keepNext w:val="0"/>
              <w:keepLines w:val="0"/>
              <w:pageBreakBefore w:val="0"/>
              <w:widowControl w:val="0"/>
              <w:kinsoku/>
              <w:wordWrap/>
              <w:overflowPunct/>
              <w:topLinePunct w:val="0"/>
              <w:bidi w:val="0"/>
              <w:spacing w:line="240" w:lineRule="auto"/>
              <w:textAlignment w:val="auto"/>
              <w:rPr>
                <w:rFonts w:ascii="宋体" w:hAnsi="宋体" w:cs="宋体"/>
                <w:color w:val="000000" w:themeColor="text1"/>
                <w:sz w:val="21"/>
                <w:szCs w:val="21"/>
                <w:highlight w:val="none"/>
                <w14:textFill>
                  <w14:solidFill>
                    <w14:schemeClr w14:val="tx1"/>
                  </w14:solidFill>
                </w14:textFill>
              </w:rPr>
            </w:pPr>
            <w:r>
              <w:rPr>
                <w:color w:val="000000"/>
                <w:szCs w:val="21"/>
              </w:rPr>
              <w:t>投标人必须提供类似项目合同关键页或中标通知书</w:t>
            </w:r>
            <w:r>
              <w:rPr>
                <w:rFonts w:hint="eastAsia"/>
                <w:color w:val="000000"/>
                <w:szCs w:val="21"/>
                <w:lang w:eastAsia="zh-CN"/>
              </w:rPr>
              <w:t>及发票扫描件</w:t>
            </w:r>
            <w:r>
              <w:rPr>
                <w:color w:val="000000"/>
                <w:szCs w:val="21"/>
              </w:rPr>
              <w:t>，原件备查。未提供证明材料或者提供的证明材料不符合要求或提供的证明材料不清晰评审专家无法辨认的，不得分。</w:t>
            </w:r>
          </w:p>
        </w:tc>
        <w:tc>
          <w:tcPr>
            <w:tcW w:w="82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第…   页</w:t>
            </w:r>
          </w:p>
        </w:tc>
      </w:tr>
    </w:tbl>
    <w:p>
      <w:pPr>
        <w:keepNext w:val="0"/>
        <w:keepLines w:val="0"/>
        <w:pageBreakBefore w:val="0"/>
        <w:widowControl w:val="0"/>
        <w:kinsoku/>
        <w:overflowPunct/>
        <w:topLinePunct w:val="0"/>
        <w:bidi w:val="0"/>
        <w:rPr>
          <w:rFonts w:asciiTheme="minorEastAsia" w:hAnsiTheme="minorEastAsia" w:eastAsiaTheme="minorEastAsia"/>
          <w:color w:val="000000" w:themeColor="text1"/>
          <w:sz w:val="24"/>
          <w14:textFill>
            <w14:solidFill>
              <w14:schemeClr w14:val="tx1"/>
            </w14:solidFill>
          </w14:textFill>
        </w:rPr>
      </w:pPr>
    </w:p>
    <w:p>
      <w:pPr>
        <w:pStyle w:val="2"/>
      </w:pPr>
    </w:p>
    <w:p>
      <w:pPr>
        <w:keepNext w:val="0"/>
        <w:keepLines w:val="0"/>
        <w:pageBreakBefore w:val="0"/>
        <w:widowControl w:val="0"/>
        <w:kinsoku/>
        <w:overflowPunct/>
        <w:topLinePunct w:val="0"/>
        <w:bidi w:val="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填写说明：</w:t>
      </w:r>
    </w:p>
    <w:p>
      <w:pPr>
        <w:keepNext w:val="0"/>
        <w:keepLines w:val="0"/>
        <w:pageBreakBefore w:val="0"/>
        <w:widowControl w:val="0"/>
        <w:kinsoku/>
        <w:overflowPunct/>
        <w:topLinePunct w:val="0"/>
        <w:bidi w:val="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1、</w:t>
      </w:r>
      <w:r>
        <w:rPr>
          <w:rFonts w:asciiTheme="minorEastAsia" w:hAnsiTheme="minorEastAsia" w:eastAsiaTheme="minorEastAsia"/>
          <w:b/>
          <w:color w:val="000000" w:themeColor="text1"/>
          <w:szCs w:val="21"/>
          <w14:textFill>
            <w14:solidFill>
              <w14:schemeClr w14:val="tx1"/>
            </w14:solidFill>
          </w14:textFill>
        </w:rPr>
        <w:t>商务部分，如投标人完全响应满足内容的，建议在对应的【</w:t>
      </w:r>
      <w:r>
        <w:rPr>
          <w:rFonts w:hint="eastAsia" w:asciiTheme="minorEastAsia" w:hAnsiTheme="minorEastAsia" w:eastAsiaTheme="minorEastAsia"/>
          <w:b/>
          <w:color w:val="000000" w:themeColor="text1"/>
          <w:szCs w:val="21"/>
          <w14:textFill>
            <w14:solidFill>
              <w14:schemeClr w14:val="tx1"/>
            </w14:solidFill>
          </w14:textFill>
        </w:rPr>
        <w:t>投标实际参数</w:t>
      </w:r>
      <w:r>
        <w:rPr>
          <w:rFonts w:asciiTheme="minorEastAsia" w:hAnsiTheme="minorEastAsia" w:eastAsiaTheme="minorEastAsia"/>
          <w:b/>
          <w:color w:val="000000" w:themeColor="text1"/>
          <w:szCs w:val="21"/>
          <w14:textFill>
            <w14:solidFill>
              <w14:schemeClr w14:val="tx1"/>
            </w14:solidFill>
          </w14:textFill>
        </w:rPr>
        <w:t>】中填写“</w:t>
      </w:r>
      <w:r>
        <w:rPr>
          <w:rFonts w:hint="eastAsia" w:asciiTheme="minorEastAsia" w:hAnsiTheme="minorEastAsia" w:eastAsiaTheme="minorEastAsia"/>
          <w:b/>
          <w:color w:val="000000" w:themeColor="text1"/>
          <w:szCs w:val="21"/>
          <w14:textFill>
            <w14:solidFill>
              <w14:schemeClr w14:val="tx1"/>
            </w14:solidFill>
          </w14:textFill>
        </w:rPr>
        <w:t>我公司完全响应满足此项要求</w:t>
      </w:r>
      <w:r>
        <w:rPr>
          <w:rFonts w:asciiTheme="minorEastAsia" w:hAnsiTheme="minorEastAsia" w:eastAsiaTheme="minorEastAsia"/>
          <w:b/>
          <w:color w:val="000000" w:themeColor="text1"/>
          <w:szCs w:val="21"/>
          <w14:textFill>
            <w14:solidFill>
              <w14:schemeClr w14:val="tx1"/>
            </w14:solidFill>
          </w14:textFill>
        </w:rPr>
        <w:t>”即可；</w:t>
      </w:r>
      <w:r>
        <w:rPr>
          <w:rFonts w:asciiTheme="minorEastAsia" w:hAnsiTheme="minorEastAsia" w:eastAsiaTheme="minorEastAsia"/>
          <w:color w:val="000000" w:themeColor="text1"/>
          <w:szCs w:val="21"/>
          <w14:textFill>
            <w14:solidFill>
              <w14:schemeClr w14:val="tx1"/>
            </w14:solidFill>
          </w14:textFill>
        </w:rPr>
        <w:t xml:space="preserve"> </w:t>
      </w:r>
    </w:p>
    <w:p>
      <w:pPr>
        <w:keepNext w:val="0"/>
        <w:keepLines w:val="0"/>
        <w:pageBreakBefore w:val="0"/>
        <w:widowControl w:val="0"/>
        <w:kinsoku/>
        <w:overflowPunct/>
        <w:topLinePunct w:val="0"/>
        <w:bidi w:val="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2、如投标人响应情况优于或低于招标要求的，应在【</w:t>
      </w:r>
      <w:r>
        <w:rPr>
          <w:rFonts w:hint="eastAsia" w:asciiTheme="minorEastAsia" w:hAnsiTheme="minorEastAsia" w:eastAsiaTheme="minorEastAsia"/>
          <w:color w:val="000000" w:themeColor="text1"/>
          <w:szCs w:val="21"/>
          <w14:textFill>
            <w14:solidFill>
              <w14:schemeClr w14:val="tx1"/>
            </w14:solidFill>
          </w14:textFill>
        </w:rPr>
        <w:t>投标实际参数</w:t>
      </w:r>
      <w:r>
        <w:rPr>
          <w:rFonts w:asciiTheme="minorEastAsia" w:hAnsiTheme="minorEastAsia" w:eastAsiaTheme="minorEastAsia"/>
          <w:color w:val="000000" w:themeColor="text1"/>
          <w:szCs w:val="21"/>
          <w14:textFill>
            <w14:solidFill>
              <w14:schemeClr w14:val="tx1"/>
            </w14:solidFill>
          </w14:textFill>
        </w:rPr>
        <w:t xml:space="preserve">】栏中作详细说明，如完全满足或符合招标文件要求的则无需说明，参照上一条填写内容即可，评标委员会将根据具体情况给予是否偏离的认定，并以此认定标准为最终评判标准； </w:t>
      </w:r>
    </w:p>
    <w:p>
      <w:pPr>
        <w:keepNext w:val="0"/>
        <w:keepLines w:val="0"/>
        <w:pageBreakBefore w:val="0"/>
        <w:widowControl w:val="0"/>
        <w:kinsoku/>
        <w:overflowPunct/>
        <w:topLinePunct w:val="0"/>
        <w:bidi w:val="0"/>
        <w:rPr>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3、带</w:t>
      </w:r>
      <w:r>
        <w:rPr>
          <w:rFonts w:cs="Segoe UI Symbol"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号条款为不可偏离条款，如未响应或出现负偏离的，将作投标无效处理。</w:t>
      </w:r>
    </w:p>
    <w:p>
      <w:pPr>
        <w:keepNext w:val="0"/>
        <w:keepLines w:val="0"/>
        <w:pageBreakBefore w:val="0"/>
        <w:widowControl w:val="0"/>
        <w:kinsoku/>
        <w:overflowPunct/>
        <w:topLinePunct w:val="0"/>
        <w:bidi w:val="0"/>
        <w:rPr>
          <w:color w:val="000000"/>
        </w:rPr>
      </w:pPr>
    </w:p>
    <w:p>
      <w:pPr>
        <w:keepNext w:val="0"/>
        <w:keepLines w:val="0"/>
        <w:pageBreakBefore w:val="0"/>
        <w:widowControl w:val="0"/>
        <w:kinsoku/>
        <w:overflowPunct/>
        <w:topLinePunct w:val="0"/>
        <w:bidi w:val="0"/>
        <w:ind w:firstLine="6090" w:firstLineChars="2900"/>
        <w:rPr>
          <w:color w:val="000000"/>
        </w:rPr>
      </w:pPr>
      <w:r>
        <w:rPr>
          <w:rFonts w:hint="eastAsia"/>
          <w:color w:val="000000"/>
        </w:rPr>
        <w:t>投标人授权代表签字：</w:t>
      </w:r>
    </w:p>
    <w:p>
      <w:pPr>
        <w:keepNext w:val="0"/>
        <w:keepLines w:val="0"/>
        <w:pageBreakBefore w:val="0"/>
        <w:widowControl w:val="0"/>
        <w:kinsoku/>
        <w:overflowPunct/>
        <w:topLinePunct w:val="0"/>
        <w:bidi w:val="0"/>
        <w:ind w:firstLine="7350" w:firstLineChars="3500"/>
        <w:rPr>
          <w:color w:val="000000"/>
        </w:rPr>
      </w:pPr>
      <w:r>
        <w:rPr>
          <w:rFonts w:hint="eastAsia"/>
          <w:color w:val="000000"/>
        </w:rPr>
        <w:t>（盖章）</w:t>
      </w:r>
    </w:p>
    <w:p>
      <w:pPr>
        <w:keepNext w:val="0"/>
        <w:keepLines w:val="0"/>
        <w:pageBreakBefore w:val="0"/>
        <w:widowControl w:val="0"/>
        <w:kinsoku/>
        <w:overflowPunct/>
        <w:topLinePunct w:val="0"/>
        <w:bidi w:val="0"/>
        <w:ind w:firstLine="7560" w:firstLineChars="3600"/>
      </w:pPr>
      <w:r>
        <w:rPr>
          <w:rFonts w:hint="eastAsia"/>
          <w:color w:val="000000"/>
        </w:rPr>
        <w:t>日期：</w:t>
      </w:r>
      <w:bookmarkStart w:id="52" w:name="_Toc24416"/>
      <w:r>
        <w:br w:type="page"/>
      </w:r>
    </w:p>
    <w:p>
      <w:pPr>
        <w:pStyle w:val="3"/>
        <w:keepNext w:val="0"/>
        <w:keepLines w:val="0"/>
        <w:pageBreakBefore w:val="0"/>
        <w:widowControl w:val="0"/>
        <w:kinsoku/>
        <w:overflowPunct/>
        <w:topLinePunct w:val="0"/>
        <w:bidi w:val="0"/>
        <w:spacing w:line="579" w:lineRule="auto"/>
        <w:jc w:val="center"/>
        <w:rPr>
          <w:rFonts w:ascii="黑体" w:hAnsi="黑体" w:eastAsia="黑体"/>
          <w:bCs w:val="0"/>
          <w:sz w:val="32"/>
          <w:szCs w:val="32"/>
        </w:rPr>
      </w:pPr>
      <w:bookmarkStart w:id="53" w:name="_Toc587"/>
      <w:r>
        <w:rPr>
          <w:rFonts w:hint="eastAsia" w:ascii="黑体" w:hAnsi="黑体" w:eastAsia="黑体"/>
          <w:bCs w:val="0"/>
          <w:sz w:val="32"/>
          <w:szCs w:val="32"/>
        </w:rPr>
        <w:t>1</w:t>
      </w:r>
      <w:r>
        <w:rPr>
          <w:rFonts w:hint="eastAsia" w:ascii="黑体" w:hAnsi="黑体" w:eastAsia="黑体"/>
          <w:bCs w:val="0"/>
          <w:sz w:val="32"/>
          <w:szCs w:val="32"/>
          <w:lang w:val="en-US" w:eastAsia="zh-CN"/>
        </w:rPr>
        <w:t>7</w:t>
      </w:r>
      <w:r>
        <w:rPr>
          <w:rFonts w:hint="eastAsia" w:ascii="黑体" w:hAnsi="黑体" w:eastAsia="黑体"/>
          <w:bCs w:val="0"/>
          <w:sz w:val="32"/>
          <w:szCs w:val="32"/>
        </w:rPr>
        <w:t>、深圳市宝安区妇幼保健院报价单</w:t>
      </w:r>
      <w:bookmarkEnd w:id="52"/>
      <w:bookmarkEnd w:id="53"/>
    </w:p>
    <w:p>
      <w:pPr>
        <w:keepNext w:val="0"/>
        <w:keepLines w:val="0"/>
        <w:pageBreakBefore w:val="0"/>
        <w:widowControl w:val="0"/>
        <w:kinsoku/>
        <w:overflowPunct/>
        <w:topLinePunct w:val="0"/>
        <w:bidi w:val="0"/>
        <w:ind w:left="-1"/>
        <w:rPr>
          <w:rFonts w:ascii="宋体" w:hAnsi="宋体"/>
          <w:szCs w:val="21"/>
        </w:rPr>
      </w:pPr>
    </w:p>
    <w:p>
      <w:pPr>
        <w:keepNext w:val="0"/>
        <w:keepLines w:val="0"/>
        <w:pageBreakBefore w:val="0"/>
        <w:widowControl w:val="0"/>
        <w:kinsoku/>
        <w:overflowPunct/>
        <w:topLinePunct w:val="0"/>
        <w:bidi w:val="0"/>
        <w:ind w:left="-1"/>
        <w:rPr>
          <w:rFonts w:ascii="宋体" w:hAnsi="宋体"/>
          <w:szCs w:val="21"/>
          <w:u w:val="single"/>
        </w:rPr>
      </w:pPr>
      <w:r>
        <w:rPr>
          <w:rFonts w:hint="eastAsia" w:ascii="宋体" w:hAnsi="宋体"/>
          <w:szCs w:val="21"/>
        </w:rPr>
        <w:t>投标单位：</w:t>
      </w:r>
      <w:r>
        <w:rPr>
          <w:rFonts w:hint="eastAsia" w:ascii="宋体" w:hAnsi="宋体"/>
          <w:szCs w:val="21"/>
          <w:u w:val="single"/>
        </w:rPr>
        <w:t xml:space="preserve">                                  </w:t>
      </w:r>
    </w:p>
    <w:p>
      <w:pPr>
        <w:keepNext w:val="0"/>
        <w:keepLines w:val="0"/>
        <w:pageBreakBefore w:val="0"/>
        <w:widowControl w:val="0"/>
        <w:kinsoku/>
        <w:overflowPunct/>
        <w:topLinePunct w:val="0"/>
        <w:bidi w:val="0"/>
        <w:ind w:left="-1"/>
        <w:rPr>
          <w:rFonts w:ascii="宋体" w:hAnsi="宋体"/>
          <w:szCs w:val="21"/>
        </w:rPr>
      </w:pPr>
    </w:p>
    <w:tbl>
      <w:tblPr>
        <w:tblStyle w:val="28"/>
        <w:tblW w:w="82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4678"/>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1169" w:type="dxa"/>
            <w:tcBorders>
              <w:bottom w:val="single" w:color="auto" w:sz="4" w:space="0"/>
            </w:tcBorders>
            <w:vAlign w:val="center"/>
          </w:tcPr>
          <w:p>
            <w:pPr>
              <w:keepNext w:val="0"/>
              <w:keepLines w:val="0"/>
              <w:pageBreakBefore w:val="0"/>
              <w:widowControl w:val="0"/>
              <w:kinsoku/>
              <w:overflowPunct/>
              <w:topLinePunct w:val="0"/>
              <w:bidi w:val="0"/>
              <w:spacing w:line="360" w:lineRule="auto"/>
              <w:jc w:val="center"/>
              <w:rPr>
                <w:rFonts w:ascii="宋体" w:hAnsi="宋体"/>
                <w:szCs w:val="21"/>
              </w:rPr>
            </w:pPr>
            <w:r>
              <w:rPr>
                <w:rFonts w:hint="eastAsia" w:ascii="宋体" w:hAnsi="宋体"/>
                <w:szCs w:val="21"/>
              </w:rPr>
              <w:t>序号</w:t>
            </w:r>
          </w:p>
        </w:tc>
        <w:tc>
          <w:tcPr>
            <w:tcW w:w="4678" w:type="dxa"/>
            <w:tcBorders>
              <w:bottom w:val="single" w:color="auto" w:sz="4" w:space="0"/>
            </w:tcBorders>
            <w:vAlign w:val="center"/>
          </w:tcPr>
          <w:p>
            <w:pPr>
              <w:keepNext w:val="0"/>
              <w:keepLines w:val="0"/>
              <w:pageBreakBefore w:val="0"/>
              <w:widowControl w:val="0"/>
              <w:kinsoku/>
              <w:overflowPunct/>
              <w:topLinePunct w:val="0"/>
              <w:bidi w:val="0"/>
              <w:spacing w:line="360" w:lineRule="auto"/>
              <w:jc w:val="center"/>
              <w:rPr>
                <w:rFonts w:ascii="宋体" w:hAnsi="宋体" w:cs="Arial"/>
                <w:color w:val="000000"/>
                <w:kern w:val="0"/>
                <w:szCs w:val="21"/>
              </w:rPr>
            </w:pPr>
            <w:r>
              <w:rPr>
                <w:rFonts w:hint="eastAsia" w:ascii="宋体" w:hAnsi="宋体" w:cs="Arial"/>
                <w:color w:val="000000"/>
                <w:kern w:val="0"/>
                <w:szCs w:val="21"/>
              </w:rPr>
              <w:t>项目名称</w:t>
            </w:r>
          </w:p>
        </w:tc>
        <w:tc>
          <w:tcPr>
            <w:tcW w:w="2375" w:type="dxa"/>
            <w:tcBorders>
              <w:bottom w:val="single" w:color="auto" w:sz="4" w:space="0"/>
            </w:tcBorders>
            <w:vAlign w:val="center"/>
          </w:tcPr>
          <w:p>
            <w:pPr>
              <w:keepNext w:val="0"/>
              <w:keepLines w:val="0"/>
              <w:pageBreakBefore w:val="0"/>
              <w:widowControl w:val="0"/>
              <w:kinsoku/>
              <w:overflowPunct/>
              <w:topLinePunct w:val="0"/>
              <w:bidi w:val="0"/>
              <w:spacing w:line="360" w:lineRule="auto"/>
              <w:jc w:val="center"/>
              <w:rPr>
                <w:rFonts w:ascii="宋体" w:hAnsi="宋体"/>
                <w:szCs w:val="21"/>
              </w:rPr>
            </w:pPr>
            <w:r>
              <w:rPr>
                <w:rFonts w:hint="eastAsia" w:ascii="宋体" w:hAnsi="宋体" w:cs="Arial"/>
                <w:color w:val="000000"/>
                <w:kern w:val="0"/>
                <w:szCs w:val="21"/>
              </w:rPr>
              <w:t>报价（元</w:t>
            </w:r>
            <w:r>
              <w:rPr>
                <w:rFonts w:hint="eastAsia" w:ascii="宋体" w:hAnsi="宋体" w:cs="Arial"/>
                <w:color w:val="000000"/>
                <w:kern w:val="0"/>
                <w:szCs w:val="21"/>
                <w:lang w:val="en-US" w:eastAsia="zh-CN"/>
              </w:rPr>
              <w:t>/条</w:t>
            </w:r>
            <w:r>
              <w:rPr>
                <w:rFonts w:hint="eastAsia" w:ascii="宋体" w:hAnsi="宋体" w:cs="Arial"/>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11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bidi w:val="0"/>
              <w:spacing w:line="360" w:lineRule="auto"/>
              <w:jc w:val="center"/>
              <w:rPr>
                <w:rFonts w:ascii="宋体" w:hAnsi="宋体"/>
                <w:szCs w:val="21"/>
              </w:rPr>
            </w:pPr>
            <w:r>
              <w:rPr>
                <w:rFonts w:hint="eastAsia" w:ascii="宋体" w:hAnsi="宋体"/>
                <w:szCs w:val="21"/>
              </w:rPr>
              <w:t>1</w:t>
            </w:r>
          </w:p>
        </w:tc>
        <w:tc>
          <w:tcPr>
            <w:tcW w:w="4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bidi w:val="0"/>
              <w:spacing w:line="360" w:lineRule="auto"/>
              <w:jc w:val="center"/>
              <w:rPr>
                <w:rFonts w:hint="eastAsia" w:ascii="宋体" w:hAnsi="宋体" w:eastAsia="宋体"/>
                <w:szCs w:val="21"/>
                <w:lang w:eastAsia="zh-CN"/>
              </w:rPr>
            </w:pPr>
            <w:r>
              <w:rPr>
                <w:rFonts w:hint="eastAsia" w:ascii="宋体" w:hAnsi="宋体" w:eastAsia="宋体"/>
                <w:szCs w:val="21"/>
                <w:lang w:val="en-US" w:eastAsia="zh-CN"/>
              </w:rPr>
              <w:t>短信服务平台</w:t>
            </w:r>
          </w:p>
        </w:tc>
        <w:tc>
          <w:tcPr>
            <w:tcW w:w="2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bidi w:val="0"/>
              <w:spacing w:line="360" w:lineRule="auto"/>
              <w:jc w:val="center"/>
              <w:rPr>
                <w:rFonts w:ascii="宋体" w:hAnsi="宋体"/>
                <w:szCs w:val="21"/>
              </w:rPr>
            </w:pPr>
          </w:p>
        </w:tc>
      </w:tr>
    </w:tbl>
    <w:p>
      <w:pPr>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pStyle w:val="30"/>
        <w:keepNext w:val="0"/>
        <w:keepLines w:val="0"/>
        <w:pageBreakBefore w:val="0"/>
        <w:widowControl w:val="0"/>
        <w:kinsoku/>
        <w:overflowPunct/>
        <w:topLinePunct w:val="0"/>
        <w:bidi w:val="0"/>
      </w:pPr>
    </w:p>
    <w:p>
      <w:pPr>
        <w:keepNext w:val="0"/>
        <w:keepLines w:val="0"/>
        <w:pageBreakBefore w:val="0"/>
        <w:widowControl w:val="0"/>
        <w:kinsoku/>
        <w:overflowPunct/>
        <w:topLinePunct w:val="0"/>
        <w:bidi w:val="0"/>
        <w:spacing w:line="360" w:lineRule="atLeast"/>
        <w:ind w:left="-1" w:firstLine="210" w:firstLineChars="100"/>
        <w:jc w:val="left"/>
        <w:rPr>
          <w:rFonts w:ascii="宋体" w:hAnsi="宋体" w:cs="Arial"/>
          <w:color w:val="000000"/>
          <w:kern w:val="0"/>
          <w:szCs w:val="21"/>
          <w:u w:val="single"/>
        </w:rPr>
      </w:pPr>
      <w:r>
        <w:rPr>
          <w:rFonts w:hint="eastAsia" w:ascii="宋体" w:hAnsi="宋体" w:cs="Arial"/>
          <w:color w:val="000000"/>
          <w:kern w:val="0"/>
          <w:szCs w:val="21"/>
        </w:rPr>
        <w:t>全权代表签字：</w:t>
      </w:r>
      <w:r>
        <w:rPr>
          <w:rFonts w:hint="eastAsia" w:ascii="宋体" w:hAnsi="宋体" w:cs="Arial"/>
          <w:color w:val="000000"/>
          <w:kern w:val="0"/>
          <w:szCs w:val="21"/>
          <w:u w:val="single"/>
        </w:rPr>
        <w:t xml:space="preserve">                     </w:t>
      </w:r>
      <w:r>
        <w:rPr>
          <w:rFonts w:hint="eastAsia" w:ascii="宋体" w:hAnsi="宋体" w:cs="Arial"/>
          <w:color w:val="000000"/>
          <w:kern w:val="0"/>
          <w:szCs w:val="21"/>
        </w:rPr>
        <w:t>（盖章）</w:t>
      </w:r>
    </w:p>
    <w:p>
      <w:pPr>
        <w:keepNext w:val="0"/>
        <w:keepLines w:val="0"/>
        <w:pageBreakBefore w:val="0"/>
        <w:widowControl w:val="0"/>
        <w:kinsoku/>
        <w:overflowPunct/>
        <w:topLinePunct w:val="0"/>
        <w:bidi w:val="0"/>
        <w:spacing w:line="360" w:lineRule="atLeast"/>
        <w:ind w:left="-1" w:firstLine="1050" w:firstLineChars="500"/>
        <w:jc w:val="left"/>
        <w:rPr>
          <w:rFonts w:ascii="宋体" w:hAnsi="宋体"/>
          <w:szCs w:val="21"/>
          <w:u w:val="single"/>
        </w:rPr>
      </w:pPr>
      <w:r>
        <w:rPr>
          <w:rFonts w:hint="eastAsia" w:ascii="宋体" w:hAnsi="宋体" w:cs="Arial"/>
          <w:color w:val="000000"/>
          <w:kern w:val="0"/>
          <w:szCs w:val="21"/>
        </w:rPr>
        <w:t>日期：</w:t>
      </w:r>
      <w:r>
        <w:rPr>
          <w:rFonts w:hint="eastAsia" w:ascii="宋体" w:hAnsi="宋体" w:cs="Arial"/>
          <w:color w:val="000000"/>
          <w:kern w:val="0"/>
          <w:szCs w:val="21"/>
          <w:u w:val="single"/>
        </w:rPr>
        <w:t xml:space="preserve">                     </w:t>
      </w:r>
    </w:p>
    <w:p>
      <w:pPr>
        <w:spacing w:line="360" w:lineRule="atLeast"/>
        <w:jc w:val="left"/>
        <w:rPr>
          <w:rFonts w:hint="eastAsia" w:ascii="宋体" w:hAnsi="宋体" w:cs="Arial"/>
          <w:color w:val="000000"/>
          <w:kern w:val="0"/>
          <w:szCs w:val="21"/>
        </w:rPr>
      </w:pPr>
    </w:p>
    <w:p>
      <w:pPr>
        <w:spacing w:line="360" w:lineRule="atLeast"/>
        <w:jc w:val="left"/>
        <w:rPr>
          <w:rFonts w:ascii="宋体" w:hAnsi="宋体" w:cs="Arial"/>
          <w:color w:val="000000"/>
          <w:kern w:val="0"/>
          <w:szCs w:val="21"/>
        </w:rPr>
      </w:pPr>
      <w:r>
        <w:rPr>
          <w:rFonts w:hint="eastAsia" w:ascii="宋体" w:hAnsi="宋体" w:cs="Arial"/>
          <w:color w:val="000000"/>
          <w:kern w:val="0"/>
          <w:szCs w:val="21"/>
        </w:rPr>
        <w:t>备注：</w:t>
      </w:r>
    </w:p>
    <w:p>
      <w:pPr>
        <w:pStyle w:val="11"/>
        <w:ind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1.以</w:t>
      </w:r>
      <w:r>
        <w:rPr>
          <w:rFonts w:hint="eastAsia" w:ascii="Times New Roman" w:hAnsi="Times New Roman" w:eastAsia="宋体" w:cs="Times New Roman"/>
          <w:b/>
          <w:bCs/>
          <w:lang w:val="en-US" w:eastAsia="zh-CN"/>
        </w:rPr>
        <w:t>单条短信费用</w:t>
      </w:r>
      <w:r>
        <w:rPr>
          <w:rFonts w:hint="eastAsia" w:ascii="Times New Roman" w:hAnsi="Times New Roman" w:eastAsia="宋体" w:cs="Times New Roman"/>
          <w:lang w:val="en-US" w:eastAsia="zh-CN"/>
        </w:rPr>
        <w:t>进行报价，单价</w:t>
      </w:r>
      <w:r>
        <w:rPr>
          <w:rFonts w:hint="eastAsia" w:ascii="Times New Roman" w:hAnsi="Times New Roman" w:eastAsia="宋体" w:cs="Times New Roman"/>
          <w:b/>
          <w:bCs/>
          <w:color w:val="FF0000"/>
          <w:lang w:val="en-US" w:eastAsia="zh-CN"/>
        </w:rPr>
        <w:t>不大于0.0335元/条</w:t>
      </w:r>
      <w:r>
        <w:rPr>
          <w:rFonts w:hint="eastAsia" w:ascii="Times New Roman" w:hAnsi="Times New Roman" w:eastAsia="宋体" w:cs="Times New Roman"/>
          <w:lang w:val="en-US" w:eastAsia="zh-CN"/>
        </w:rPr>
        <w:t>。</w:t>
      </w:r>
    </w:p>
    <w:p>
      <w:pPr>
        <w:pStyle w:val="11"/>
        <w:ind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2.双方根据中标单价及实际采购数量按实际发生额结算货款，总结算价格不超过采购限额。</w:t>
      </w:r>
    </w:p>
    <w:p>
      <w:pPr>
        <w:pStyle w:val="11"/>
        <w:ind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3.报价以人民币为结算单位。</w:t>
      </w:r>
    </w:p>
    <w:p>
      <w:pPr>
        <w:pStyle w:val="11"/>
        <w:ind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4.不限服务期限，用完预算金额即止。</w:t>
      </w:r>
    </w:p>
    <w:p>
      <w:pPr>
        <w:keepNext w:val="0"/>
        <w:keepLines w:val="0"/>
        <w:pageBreakBefore w:val="0"/>
        <w:widowControl w:val="0"/>
        <w:numPr>
          <w:ilvl w:val="0"/>
          <w:numId w:val="0"/>
        </w:numPr>
        <w:kinsoku/>
        <w:overflowPunct/>
        <w:topLinePunct w:val="0"/>
        <w:bidi w:val="0"/>
        <w:spacing w:line="360" w:lineRule="auto"/>
        <w:jc w:val="left"/>
        <w:rPr>
          <w:rFonts w:hint="eastAsia" w:ascii="宋体" w:hAnsi="宋体" w:eastAsia="宋体" w:cs="Arial"/>
          <w:color w:val="000000"/>
          <w:kern w:val="0"/>
          <w:szCs w:val="21"/>
          <w:lang w:val="en-US" w:eastAsia="zh-CN"/>
        </w:rPr>
      </w:pPr>
    </w:p>
    <w:p>
      <w:pPr>
        <w:keepNext w:val="0"/>
        <w:keepLines w:val="0"/>
        <w:pageBreakBefore w:val="0"/>
        <w:widowControl w:val="0"/>
        <w:kinsoku/>
        <w:overflowPunct/>
        <w:topLinePunct w:val="0"/>
        <w:bidi w:val="0"/>
        <w:spacing w:line="360" w:lineRule="atLeast"/>
        <w:ind w:left="-1"/>
        <w:jc w:val="left"/>
        <w:rPr>
          <w:rFonts w:hint="eastAsia" w:ascii="宋体" w:hAnsi="宋体" w:eastAsia="宋体" w:cs="Arial"/>
          <w:color w:val="000000"/>
          <w:kern w:val="0"/>
          <w:szCs w:val="21"/>
          <w:lang w:val="en-US" w:eastAsia="zh-CN"/>
        </w:rPr>
      </w:pPr>
    </w:p>
    <w:sectPr>
      <w:pgSz w:w="11906" w:h="16838"/>
      <w:pgMar w:top="1440" w:right="1080" w:bottom="1440" w:left="1080" w:header="851" w:footer="992" w:gutter="0"/>
      <w:paperSrc w:first="15"/>
      <w:pgBorders>
        <w:top w:val="none" w:sz="0" w:space="0"/>
        <w:left w:val="none" w:sz="0" w:space="0"/>
        <w:bottom w:val="none" w:sz="0" w:space="0"/>
        <w:right w:val="none" w:sz="0" w:space="0"/>
      </w:pgBorders>
      <w:pgNumType w:fmt="numberInDash"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长城仿宋">
    <w:altName w:val="微软雅黑"/>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宋体-18030">
    <w:altName w:val="微软雅黑"/>
    <w:panose1 w:val="00000000000000000000"/>
    <w:charset w:val="86"/>
    <w:family w:val="modern"/>
    <w:pitch w:val="default"/>
    <w:sig w:usb0="00000000" w:usb1="00000000" w:usb2="000A005E"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4DF817"/>
    <w:multiLevelType w:val="singleLevel"/>
    <w:tmpl w:val="884DF817"/>
    <w:lvl w:ilvl="0" w:tentative="0">
      <w:start w:val="1"/>
      <w:numFmt w:val="decimal"/>
      <w:lvlText w:val="%1."/>
      <w:lvlJc w:val="left"/>
      <w:pPr>
        <w:tabs>
          <w:tab w:val="left" w:pos="312"/>
        </w:tabs>
      </w:pPr>
    </w:lvl>
  </w:abstractNum>
  <w:abstractNum w:abstractNumId="1">
    <w:nsid w:val="9D43B161"/>
    <w:multiLevelType w:val="singleLevel"/>
    <w:tmpl w:val="9D43B161"/>
    <w:lvl w:ilvl="0" w:tentative="0">
      <w:start w:val="1"/>
      <w:numFmt w:val="decimal"/>
      <w:suff w:val="nothing"/>
      <w:lvlText w:val="%1."/>
      <w:lvlJc w:val="left"/>
      <w:pPr>
        <w:ind w:left="0" w:firstLine="0"/>
      </w:pPr>
      <w:rPr>
        <w:rFonts w:hint="default"/>
      </w:rPr>
    </w:lvl>
  </w:abstractNum>
  <w:abstractNum w:abstractNumId="2">
    <w:nsid w:val="B1059B75"/>
    <w:multiLevelType w:val="singleLevel"/>
    <w:tmpl w:val="B1059B75"/>
    <w:lvl w:ilvl="0" w:tentative="0">
      <w:start w:val="1"/>
      <w:numFmt w:val="decimal"/>
      <w:lvlText w:val="%1."/>
      <w:lvlJc w:val="left"/>
      <w:pPr>
        <w:tabs>
          <w:tab w:val="left" w:pos="312"/>
        </w:tabs>
      </w:pPr>
    </w:lvl>
  </w:abstractNum>
  <w:abstractNum w:abstractNumId="3">
    <w:nsid w:val="F58B1D01"/>
    <w:multiLevelType w:val="singleLevel"/>
    <w:tmpl w:val="F58B1D01"/>
    <w:lvl w:ilvl="0" w:tentative="0">
      <w:start w:val="2"/>
      <w:numFmt w:val="decimal"/>
      <w:suff w:val="nothing"/>
      <w:lvlText w:val="%1、"/>
      <w:lvlJc w:val="left"/>
    </w:lvl>
  </w:abstractNum>
  <w:abstractNum w:abstractNumId="4">
    <w:nsid w:val="F5E8BC33"/>
    <w:multiLevelType w:val="singleLevel"/>
    <w:tmpl w:val="F5E8BC33"/>
    <w:lvl w:ilvl="0" w:tentative="0">
      <w:start w:val="5"/>
      <w:numFmt w:val="decimal"/>
      <w:suff w:val="nothing"/>
      <w:lvlText w:val="%1、"/>
      <w:lvlJc w:val="left"/>
    </w:lvl>
  </w:abstractNum>
  <w:abstractNum w:abstractNumId="5">
    <w:nsid w:val="75A879CE"/>
    <w:multiLevelType w:val="multilevel"/>
    <w:tmpl w:val="75A879C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pStyle w:val="5"/>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52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lNDE3NjhlYWY2MDQ3ODQ2ODE3OGJhYjU5ODY0NDUifQ=="/>
  </w:docVars>
  <w:rsids>
    <w:rsidRoot w:val="37E16C0E"/>
    <w:rsid w:val="00067A37"/>
    <w:rsid w:val="00072854"/>
    <w:rsid w:val="000E52C5"/>
    <w:rsid w:val="000F57F9"/>
    <w:rsid w:val="001156DB"/>
    <w:rsid w:val="00153963"/>
    <w:rsid w:val="00154DE6"/>
    <w:rsid w:val="00192DEA"/>
    <w:rsid w:val="00195B18"/>
    <w:rsid w:val="001A433F"/>
    <w:rsid w:val="001C523C"/>
    <w:rsid w:val="001D6342"/>
    <w:rsid w:val="001D6C1B"/>
    <w:rsid w:val="001E1329"/>
    <w:rsid w:val="00205D6B"/>
    <w:rsid w:val="002266FB"/>
    <w:rsid w:val="00237F27"/>
    <w:rsid w:val="00255C38"/>
    <w:rsid w:val="002721AA"/>
    <w:rsid w:val="002736A0"/>
    <w:rsid w:val="00293930"/>
    <w:rsid w:val="002946AD"/>
    <w:rsid w:val="002950A2"/>
    <w:rsid w:val="002C1A79"/>
    <w:rsid w:val="002D0AA9"/>
    <w:rsid w:val="00301900"/>
    <w:rsid w:val="00315A81"/>
    <w:rsid w:val="003344D2"/>
    <w:rsid w:val="00363C06"/>
    <w:rsid w:val="003B5299"/>
    <w:rsid w:val="003E3B3A"/>
    <w:rsid w:val="003F57C2"/>
    <w:rsid w:val="0042759A"/>
    <w:rsid w:val="0043502E"/>
    <w:rsid w:val="00443A46"/>
    <w:rsid w:val="00445260"/>
    <w:rsid w:val="00455F35"/>
    <w:rsid w:val="00457555"/>
    <w:rsid w:val="0046698F"/>
    <w:rsid w:val="00467511"/>
    <w:rsid w:val="004747EF"/>
    <w:rsid w:val="0048508E"/>
    <w:rsid w:val="00485C30"/>
    <w:rsid w:val="004A2044"/>
    <w:rsid w:val="004F2852"/>
    <w:rsid w:val="004F2B15"/>
    <w:rsid w:val="00505ADF"/>
    <w:rsid w:val="005066D0"/>
    <w:rsid w:val="00581477"/>
    <w:rsid w:val="005D1C48"/>
    <w:rsid w:val="005E6A83"/>
    <w:rsid w:val="006455C5"/>
    <w:rsid w:val="00657D8B"/>
    <w:rsid w:val="006A4B46"/>
    <w:rsid w:val="006A5E10"/>
    <w:rsid w:val="006A78EA"/>
    <w:rsid w:val="006C23DA"/>
    <w:rsid w:val="006E4B93"/>
    <w:rsid w:val="006E54D5"/>
    <w:rsid w:val="006F6A12"/>
    <w:rsid w:val="00711E79"/>
    <w:rsid w:val="0071573F"/>
    <w:rsid w:val="0072205B"/>
    <w:rsid w:val="00745F50"/>
    <w:rsid w:val="00796A48"/>
    <w:rsid w:val="0079714B"/>
    <w:rsid w:val="007A02E4"/>
    <w:rsid w:val="007B7598"/>
    <w:rsid w:val="007E5E9D"/>
    <w:rsid w:val="00802B98"/>
    <w:rsid w:val="00806E44"/>
    <w:rsid w:val="0082111D"/>
    <w:rsid w:val="00824300"/>
    <w:rsid w:val="00833FC7"/>
    <w:rsid w:val="0083660E"/>
    <w:rsid w:val="008660F5"/>
    <w:rsid w:val="00874D98"/>
    <w:rsid w:val="008B1AE1"/>
    <w:rsid w:val="008B3626"/>
    <w:rsid w:val="008C2DDC"/>
    <w:rsid w:val="008F205D"/>
    <w:rsid w:val="008F54F5"/>
    <w:rsid w:val="00901812"/>
    <w:rsid w:val="00941B58"/>
    <w:rsid w:val="00944CA0"/>
    <w:rsid w:val="00944FCC"/>
    <w:rsid w:val="00947578"/>
    <w:rsid w:val="009506EF"/>
    <w:rsid w:val="009512C8"/>
    <w:rsid w:val="009567A7"/>
    <w:rsid w:val="009700C3"/>
    <w:rsid w:val="00980070"/>
    <w:rsid w:val="00981449"/>
    <w:rsid w:val="00985F40"/>
    <w:rsid w:val="009A0591"/>
    <w:rsid w:val="009B7ABF"/>
    <w:rsid w:val="009D6DBD"/>
    <w:rsid w:val="00A077C9"/>
    <w:rsid w:val="00A16810"/>
    <w:rsid w:val="00A36EBA"/>
    <w:rsid w:val="00A40B51"/>
    <w:rsid w:val="00A54027"/>
    <w:rsid w:val="00A91569"/>
    <w:rsid w:val="00AC252D"/>
    <w:rsid w:val="00AE5A7B"/>
    <w:rsid w:val="00B15E1E"/>
    <w:rsid w:val="00B2552C"/>
    <w:rsid w:val="00B3494D"/>
    <w:rsid w:val="00B87CA2"/>
    <w:rsid w:val="00B932A3"/>
    <w:rsid w:val="00B941C8"/>
    <w:rsid w:val="00B9582D"/>
    <w:rsid w:val="00BA4622"/>
    <w:rsid w:val="00BC05BC"/>
    <w:rsid w:val="00BC28D5"/>
    <w:rsid w:val="00BC7C6D"/>
    <w:rsid w:val="00C26720"/>
    <w:rsid w:val="00C30CEC"/>
    <w:rsid w:val="00C82A02"/>
    <w:rsid w:val="00C94F49"/>
    <w:rsid w:val="00C97723"/>
    <w:rsid w:val="00CB7BE2"/>
    <w:rsid w:val="00CE5A0F"/>
    <w:rsid w:val="00CE6EE9"/>
    <w:rsid w:val="00CE7263"/>
    <w:rsid w:val="00CF1BA6"/>
    <w:rsid w:val="00CF2FF8"/>
    <w:rsid w:val="00D237A3"/>
    <w:rsid w:val="00D34438"/>
    <w:rsid w:val="00D4167D"/>
    <w:rsid w:val="00D752F1"/>
    <w:rsid w:val="00D87460"/>
    <w:rsid w:val="00D95A52"/>
    <w:rsid w:val="00DB7ABE"/>
    <w:rsid w:val="00DD19B2"/>
    <w:rsid w:val="00DE6151"/>
    <w:rsid w:val="00DE6C07"/>
    <w:rsid w:val="00E16555"/>
    <w:rsid w:val="00E703DB"/>
    <w:rsid w:val="00E778C5"/>
    <w:rsid w:val="00E802E6"/>
    <w:rsid w:val="00E90794"/>
    <w:rsid w:val="00E91468"/>
    <w:rsid w:val="00E97154"/>
    <w:rsid w:val="00EB6401"/>
    <w:rsid w:val="00EC1B11"/>
    <w:rsid w:val="00ED1CF8"/>
    <w:rsid w:val="00F2566D"/>
    <w:rsid w:val="00F25ADA"/>
    <w:rsid w:val="00F65D2B"/>
    <w:rsid w:val="00FB0C2C"/>
    <w:rsid w:val="00FE7C44"/>
    <w:rsid w:val="021503BE"/>
    <w:rsid w:val="038931AB"/>
    <w:rsid w:val="05C828C3"/>
    <w:rsid w:val="06017178"/>
    <w:rsid w:val="08493123"/>
    <w:rsid w:val="08974400"/>
    <w:rsid w:val="0A435C11"/>
    <w:rsid w:val="0A9B0A28"/>
    <w:rsid w:val="0DB94A81"/>
    <w:rsid w:val="0E3061B6"/>
    <w:rsid w:val="0E716BFA"/>
    <w:rsid w:val="0FC43F3D"/>
    <w:rsid w:val="1038318F"/>
    <w:rsid w:val="107671AD"/>
    <w:rsid w:val="12871B13"/>
    <w:rsid w:val="13B35A86"/>
    <w:rsid w:val="161D62BB"/>
    <w:rsid w:val="17056A60"/>
    <w:rsid w:val="173B7728"/>
    <w:rsid w:val="17D20E26"/>
    <w:rsid w:val="18D755FD"/>
    <w:rsid w:val="18F407A8"/>
    <w:rsid w:val="19D100AC"/>
    <w:rsid w:val="1B217767"/>
    <w:rsid w:val="1B47732A"/>
    <w:rsid w:val="1C1A1516"/>
    <w:rsid w:val="1C6907A1"/>
    <w:rsid w:val="1D8A3AFD"/>
    <w:rsid w:val="1E3267B6"/>
    <w:rsid w:val="1F8ECACC"/>
    <w:rsid w:val="200B5BE2"/>
    <w:rsid w:val="24611F56"/>
    <w:rsid w:val="25E115C5"/>
    <w:rsid w:val="26B823AA"/>
    <w:rsid w:val="26F91F0B"/>
    <w:rsid w:val="2753038A"/>
    <w:rsid w:val="28EC0087"/>
    <w:rsid w:val="2A68414C"/>
    <w:rsid w:val="2ADF79B2"/>
    <w:rsid w:val="2C592266"/>
    <w:rsid w:val="2CD60B6C"/>
    <w:rsid w:val="2D515329"/>
    <w:rsid w:val="2E9F735E"/>
    <w:rsid w:val="2FAC6D3B"/>
    <w:rsid w:val="31261986"/>
    <w:rsid w:val="331B211F"/>
    <w:rsid w:val="331C1F78"/>
    <w:rsid w:val="337937E7"/>
    <w:rsid w:val="349A0856"/>
    <w:rsid w:val="35012F80"/>
    <w:rsid w:val="3527292D"/>
    <w:rsid w:val="35CB35FD"/>
    <w:rsid w:val="37E16C0E"/>
    <w:rsid w:val="37E76BFA"/>
    <w:rsid w:val="38263A0B"/>
    <w:rsid w:val="389A6429"/>
    <w:rsid w:val="391F142F"/>
    <w:rsid w:val="393C6FE9"/>
    <w:rsid w:val="3A4F4C2D"/>
    <w:rsid w:val="3AFD94E2"/>
    <w:rsid w:val="3BAE6AC1"/>
    <w:rsid w:val="3DA26043"/>
    <w:rsid w:val="3E5F7A42"/>
    <w:rsid w:val="3F323893"/>
    <w:rsid w:val="3F606611"/>
    <w:rsid w:val="40A867EE"/>
    <w:rsid w:val="416961D7"/>
    <w:rsid w:val="420B25C8"/>
    <w:rsid w:val="42284720"/>
    <w:rsid w:val="43B9593C"/>
    <w:rsid w:val="43FF36BD"/>
    <w:rsid w:val="44FB25AB"/>
    <w:rsid w:val="45AE091E"/>
    <w:rsid w:val="46863ACF"/>
    <w:rsid w:val="49EC31E1"/>
    <w:rsid w:val="4A1277D9"/>
    <w:rsid w:val="4BA36C3E"/>
    <w:rsid w:val="4BBA141C"/>
    <w:rsid w:val="4CFA5510"/>
    <w:rsid w:val="4D795F4A"/>
    <w:rsid w:val="4DEA04D6"/>
    <w:rsid w:val="4EA467C6"/>
    <w:rsid w:val="50537645"/>
    <w:rsid w:val="50BF1C6D"/>
    <w:rsid w:val="50EE68AA"/>
    <w:rsid w:val="541E1A5F"/>
    <w:rsid w:val="54715A34"/>
    <w:rsid w:val="54A23691"/>
    <w:rsid w:val="54C04F91"/>
    <w:rsid w:val="54E104D3"/>
    <w:rsid w:val="555776F0"/>
    <w:rsid w:val="55CE3AC6"/>
    <w:rsid w:val="56EE6B74"/>
    <w:rsid w:val="575546E8"/>
    <w:rsid w:val="57A624E7"/>
    <w:rsid w:val="58A46918"/>
    <w:rsid w:val="59063548"/>
    <w:rsid w:val="5A272E08"/>
    <w:rsid w:val="5B3107C4"/>
    <w:rsid w:val="5C0E6052"/>
    <w:rsid w:val="5C5A7F10"/>
    <w:rsid w:val="5CE0146E"/>
    <w:rsid w:val="5DA6758B"/>
    <w:rsid w:val="5ECE276C"/>
    <w:rsid w:val="603976AC"/>
    <w:rsid w:val="61D2731F"/>
    <w:rsid w:val="62697847"/>
    <w:rsid w:val="63B477B2"/>
    <w:rsid w:val="67421255"/>
    <w:rsid w:val="687267C0"/>
    <w:rsid w:val="68767CEA"/>
    <w:rsid w:val="6903652A"/>
    <w:rsid w:val="690D30EF"/>
    <w:rsid w:val="6B951453"/>
    <w:rsid w:val="6BAD5A9E"/>
    <w:rsid w:val="6BC81053"/>
    <w:rsid w:val="6F3B5374"/>
    <w:rsid w:val="6FF9096F"/>
    <w:rsid w:val="706B350D"/>
    <w:rsid w:val="71C030AA"/>
    <w:rsid w:val="72B4796B"/>
    <w:rsid w:val="741B7CAA"/>
    <w:rsid w:val="74DE653F"/>
    <w:rsid w:val="74F265A7"/>
    <w:rsid w:val="75B14314"/>
    <w:rsid w:val="766876D4"/>
    <w:rsid w:val="774D7310"/>
    <w:rsid w:val="7759713C"/>
    <w:rsid w:val="78066D81"/>
    <w:rsid w:val="7A7255A6"/>
    <w:rsid w:val="7BDA08BD"/>
    <w:rsid w:val="7BEE1E39"/>
    <w:rsid w:val="7CB21E69"/>
    <w:rsid w:val="7CE26D27"/>
    <w:rsid w:val="7E52333D"/>
    <w:rsid w:val="7E633878"/>
    <w:rsid w:val="7ED83CC6"/>
    <w:rsid w:val="7EE97194"/>
    <w:rsid w:val="7F3B6C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4">
    <w:name w:val="heading 2"/>
    <w:basedOn w:val="5"/>
    <w:next w:val="6"/>
    <w:unhideWhenUsed/>
    <w:qFormat/>
    <w:uiPriority w:val="0"/>
    <w:pPr>
      <w:keepNext/>
      <w:keepLines/>
      <w:spacing w:before="260" w:after="260" w:line="413" w:lineRule="auto"/>
      <w:outlineLvl w:val="1"/>
    </w:pPr>
    <w:rPr>
      <w:rFonts w:ascii="Arial" w:hAnsi="Arial" w:eastAsia="黑体"/>
      <w:sz w:val="32"/>
    </w:rPr>
  </w:style>
  <w:style w:type="paragraph" w:styleId="5">
    <w:name w:val="heading 3"/>
    <w:basedOn w:val="6"/>
    <w:next w:val="1"/>
    <w:unhideWhenUsed/>
    <w:qFormat/>
    <w:uiPriority w:val="9"/>
    <w:pPr>
      <w:keepNext/>
      <w:keepLines/>
      <w:numPr>
        <w:ilvl w:val="2"/>
        <w:numId w:val="1"/>
      </w:numPr>
      <w:spacing w:before="260" w:after="260" w:line="416" w:lineRule="auto"/>
      <w:outlineLvl w:val="2"/>
    </w:pPr>
    <w:rPr>
      <w:sz w:val="32"/>
      <w:szCs w:val="32"/>
    </w:rPr>
  </w:style>
  <w:style w:type="paragraph" w:styleId="6">
    <w:name w:val="heading 4"/>
    <w:basedOn w:val="1"/>
    <w:next w:val="1"/>
    <w:link w:val="34"/>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样式 首行缩进:  2 字符"/>
    <w:basedOn w:val="1"/>
    <w:qFormat/>
    <w:uiPriority w:val="0"/>
    <w:pPr>
      <w:ind w:firstLine="560"/>
    </w:pPr>
    <w:rPr>
      <w:rFonts w:eastAsia="仿宋_GB2312" w:cs="宋体"/>
      <w:sz w:val="24"/>
      <w:szCs w:val="20"/>
    </w:rPr>
  </w:style>
  <w:style w:type="paragraph" w:styleId="7">
    <w:name w:val="annotation subject"/>
    <w:basedOn w:val="8"/>
    <w:next w:val="8"/>
    <w:link w:val="45"/>
    <w:qFormat/>
    <w:uiPriority w:val="0"/>
    <w:rPr>
      <w:b/>
      <w:bCs/>
    </w:rPr>
  </w:style>
  <w:style w:type="paragraph" w:styleId="8">
    <w:name w:val="annotation text"/>
    <w:basedOn w:val="1"/>
    <w:link w:val="44"/>
    <w:qFormat/>
    <w:uiPriority w:val="0"/>
    <w:pPr>
      <w:jc w:val="left"/>
    </w:pPr>
  </w:style>
  <w:style w:type="paragraph" w:styleId="9">
    <w:name w:val="Body Text First Indent"/>
    <w:basedOn w:val="10"/>
    <w:unhideWhenUsed/>
    <w:qFormat/>
    <w:uiPriority w:val="99"/>
    <w:pPr>
      <w:ind w:firstLine="420" w:firstLineChars="100"/>
    </w:pPr>
  </w:style>
  <w:style w:type="paragraph" w:styleId="10">
    <w:name w:val="Body Text"/>
    <w:basedOn w:val="1"/>
    <w:next w:val="1"/>
    <w:link w:val="46"/>
    <w:qFormat/>
    <w:uiPriority w:val="0"/>
    <w:pPr>
      <w:spacing w:after="120"/>
    </w:pPr>
  </w:style>
  <w:style w:type="paragraph" w:styleId="11">
    <w:name w:val="Normal Indent"/>
    <w:basedOn w:val="1"/>
    <w:next w:val="1"/>
    <w:qFormat/>
    <w:uiPriority w:val="0"/>
    <w:pPr>
      <w:ind w:firstLine="420"/>
    </w:pPr>
    <w:rPr>
      <w:szCs w:val="20"/>
    </w:rPr>
  </w:style>
  <w:style w:type="paragraph" w:styleId="12">
    <w:name w:val="Body Text Indent"/>
    <w:basedOn w:val="1"/>
    <w:qFormat/>
    <w:uiPriority w:val="99"/>
    <w:pPr>
      <w:spacing w:after="120"/>
      <w:ind w:left="420" w:leftChars="200"/>
    </w:pPr>
  </w:style>
  <w:style w:type="paragraph" w:styleId="13">
    <w:name w:val="Plain Text"/>
    <w:basedOn w:val="1"/>
    <w:qFormat/>
    <w:uiPriority w:val="0"/>
    <w:rPr>
      <w:rFonts w:ascii="宋体" w:hAnsi="Courier New" w:cs="宋体"/>
      <w:szCs w:val="21"/>
    </w:rPr>
  </w:style>
  <w:style w:type="paragraph" w:styleId="14">
    <w:name w:val="Balloon Text"/>
    <w:basedOn w:val="1"/>
    <w:link w:val="43"/>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Body Text First Indent 2"/>
    <w:basedOn w:val="12"/>
    <w:qFormat/>
    <w:uiPriority w:val="99"/>
    <w:pPr>
      <w:ind w:firstLine="420"/>
    </w:pPr>
  </w:style>
  <w:style w:type="paragraph" w:styleId="17">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Body Text 2"/>
    <w:basedOn w:val="1"/>
    <w:link w:val="40"/>
    <w:qFormat/>
    <w:uiPriority w:val="0"/>
    <w:pPr>
      <w:spacing w:after="120" w:line="480" w:lineRule="auto"/>
    </w:pPr>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2">
    <w:name w:val="Title"/>
    <w:basedOn w:val="1"/>
    <w:next w:val="1"/>
    <w:link w:val="47"/>
    <w:qFormat/>
    <w:uiPriority w:val="0"/>
    <w:pPr>
      <w:spacing w:before="240" w:after="60"/>
      <w:jc w:val="center"/>
      <w:outlineLvl w:val="0"/>
    </w:pPr>
    <w:rPr>
      <w:rFonts w:asciiTheme="majorHAnsi" w:hAnsiTheme="majorHAnsi" w:eastAsiaTheme="majorEastAsia" w:cstheme="majorBidi"/>
      <w:b/>
      <w:bCs/>
      <w:sz w:val="32"/>
      <w:szCs w:val="32"/>
    </w:rPr>
  </w:style>
  <w:style w:type="character" w:styleId="24">
    <w:name w:val="Strong"/>
    <w:qFormat/>
    <w:uiPriority w:val="22"/>
    <w:rPr>
      <w:rFonts w:ascii="Tahoma" w:hAnsi="Tahoma" w:eastAsia="宋体"/>
      <w:b/>
      <w:bCs/>
      <w:spacing w:val="10"/>
      <w:sz w:val="24"/>
      <w:lang w:val="en-US" w:eastAsia="zh-CN" w:bidi="ar-SA"/>
    </w:rPr>
  </w:style>
  <w:style w:type="character" w:styleId="25">
    <w:name w:val="FollowedHyperlink"/>
    <w:basedOn w:val="23"/>
    <w:qFormat/>
    <w:uiPriority w:val="99"/>
    <w:rPr>
      <w:color w:val="954F72" w:themeColor="followedHyperlink"/>
      <w:u w:val="single"/>
      <w14:textFill>
        <w14:solidFill>
          <w14:schemeClr w14:val="folHlink"/>
        </w14:solidFill>
      </w14:textFill>
    </w:rPr>
  </w:style>
  <w:style w:type="character" w:styleId="26">
    <w:name w:val="Hyperlink"/>
    <w:qFormat/>
    <w:uiPriority w:val="0"/>
    <w:rPr>
      <w:color w:val="0000FF"/>
      <w:u w:val="single"/>
    </w:rPr>
  </w:style>
  <w:style w:type="character" w:styleId="27">
    <w:name w:val="annotation reference"/>
    <w:basedOn w:val="23"/>
    <w:qFormat/>
    <w:uiPriority w:val="0"/>
    <w:rPr>
      <w:sz w:val="21"/>
      <w:szCs w:val="21"/>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0">
    <w:name w:val="表格文字"/>
    <w:basedOn w:val="1"/>
    <w:qFormat/>
    <w:uiPriority w:val="0"/>
    <w:pPr>
      <w:spacing w:before="25" w:after="25"/>
    </w:pPr>
    <w:rPr>
      <w:bCs/>
      <w:spacing w:val="10"/>
      <w:szCs w:val="20"/>
    </w:rPr>
  </w:style>
  <w:style w:type="paragraph" w:customStyle="1" w:styleId="31">
    <w:name w:val="文档正文"/>
    <w:basedOn w:val="1"/>
    <w:link w:val="32"/>
    <w:qFormat/>
    <w:uiPriority w:val="99"/>
    <w:pPr>
      <w:adjustRightInd w:val="0"/>
      <w:spacing w:line="480" w:lineRule="atLeast"/>
      <w:ind w:firstLine="567" w:firstLineChars="200"/>
      <w:textAlignment w:val="baseline"/>
    </w:pPr>
    <w:rPr>
      <w:rFonts w:ascii="长城仿宋"/>
      <w:kern w:val="0"/>
      <w:szCs w:val="20"/>
    </w:rPr>
  </w:style>
  <w:style w:type="character" w:customStyle="1" w:styleId="32">
    <w:name w:val="文档正文 Char"/>
    <w:link w:val="31"/>
    <w:qFormat/>
    <w:uiPriority w:val="99"/>
    <w:rPr>
      <w:rFonts w:ascii="长城仿宋"/>
      <w:kern w:val="0"/>
      <w:szCs w:val="20"/>
    </w:rPr>
  </w:style>
  <w:style w:type="character" w:customStyle="1" w:styleId="33">
    <w:name w:val="标题 1 字符"/>
    <w:link w:val="3"/>
    <w:qFormat/>
    <w:uiPriority w:val="0"/>
    <w:rPr>
      <w:b/>
      <w:bCs/>
      <w:kern w:val="44"/>
      <w:sz w:val="44"/>
      <w:szCs w:val="44"/>
    </w:rPr>
  </w:style>
  <w:style w:type="character" w:customStyle="1" w:styleId="34">
    <w:name w:val="标题 4 字符"/>
    <w:basedOn w:val="23"/>
    <w:link w:val="6"/>
    <w:qFormat/>
    <w:uiPriority w:val="0"/>
    <w:rPr>
      <w:rFonts w:ascii="Arial" w:hAnsi="Arial" w:eastAsia="黑体"/>
      <w:b/>
      <w:bCs/>
      <w:kern w:val="2"/>
      <w:sz w:val="28"/>
      <w:szCs w:val="28"/>
    </w:rPr>
  </w:style>
  <w:style w:type="character" w:customStyle="1" w:styleId="35">
    <w:name w:val="标题 1 Char"/>
    <w:qFormat/>
    <w:uiPriority w:val="0"/>
    <w:rPr>
      <w:rFonts w:ascii="宋体" w:hAnsi="宋体" w:eastAsia="黑体"/>
      <w:b/>
      <w:bCs/>
      <w:kern w:val="44"/>
      <w:sz w:val="28"/>
      <w:szCs w:val="44"/>
      <w:lang w:val="en-US" w:eastAsia="zh-CN" w:bidi="ar-SA"/>
    </w:rPr>
  </w:style>
  <w:style w:type="paragraph" w:customStyle="1" w:styleId="36">
    <w:name w:val="WPSOffice手动目录 1"/>
    <w:qFormat/>
    <w:uiPriority w:val="0"/>
    <w:rPr>
      <w:rFonts w:asciiTheme="minorHAnsi" w:hAnsiTheme="minorHAnsi" w:eastAsiaTheme="minorEastAsia" w:cstheme="minorBidi"/>
      <w:lang w:val="en-US" w:eastAsia="zh-CN" w:bidi="ar-SA"/>
    </w:rPr>
  </w:style>
  <w:style w:type="paragraph" w:customStyle="1" w:styleId="37">
    <w:name w:val="WPSOffice手动目录 2"/>
    <w:qFormat/>
    <w:uiPriority w:val="0"/>
    <w:pPr>
      <w:ind w:left="200" w:leftChars="200"/>
    </w:pPr>
    <w:rPr>
      <w:rFonts w:asciiTheme="minorHAnsi" w:hAnsiTheme="minorHAnsi" w:eastAsiaTheme="minorEastAsia" w:cstheme="minorBidi"/>
      <w:lang w:val="en-US" w:eastAsia="zh-CN" w:bidi="ar-SA"/>
    </w:rPr>
  </w:style>
  <w:style w:type="paragraph" w:styleId="38">
    <w:name w:val="List Paragraph"/>
    <w:basedOn w:val="1"/>
    <w:qFormat/>
    <w:uiPriority w:val="34"/>
    <w:pPr>
      <w:ind w:firstLine="420" w:firstLineChars="200"/>
    </w:pPr>
  </w:style>
  <w:style w:type="character" w:customStyle="1" w:styleId="39">
    <w:name w:val="页眉 字符"/>
    <w:basedOn w:val="23"/>
    <w:link w:val="17"/>
    <w:qFormat/>
    <w:uiPriority w:val="0"/>
    <w:rPr>
      <w:kern w:val="2"/>
      <w:sz w:val="18"/>
      <w:szCs w:val="18"/>
    </w:rPr>
  </w:style>
  <w:style w:type="character" w:customStyle="1" w:styleId="40">
    <w:name w:val="正文文本 2 字符"/>
    <w:basedOn w:val="23"/>
    <w:link w:val="20"/>
    <w:qFormat/>
    <w:uiPriority w:val="0"/>
    <w:rPr>
      <w:kern w:val="2"/>
      <w:sz w:val="21"/>
      <w:szCs w:val="24"/>
    </w:rPr>
  </w:style>
  <w:style w:type="paragraph" w:customStyle="1" w:styleId="41">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42">
    <w:name w:val="列出段落1"/>
    <w:basedOn w:val="1"/>
    <w:qFormat/>
    <w:uiPriority w:val="34"/>
    <w:pPr>
      <w:ind w:firstLine="420" w:firstLineChars="200"/>
    </w:pPr>
  </w:style>
  <w:style w:type="character" w:customStyle="1" w:styleId="43">
    <w:name w:val="批注框文本 字符"/>
    <w:basedOn w:val="23"/>
    <w:link w:val="14"/>
    <w:qFormat/>
    <w:uiPriority w:val="0"/>
    <w:rPr>
      <w:kern w:val="2"/>
      <w:sz w:val="18"/>
      <w:szCs w:val="18"/>
    </w:rPr>
  </w:style>
  <w:style w:type="character" w:customStyle="1" w:styleId="44">
    <w:name w:val="批注文字 字符"/>
    <w:basedOn w:val="23"/>
    <w:link w:val="8"/>
    <w:qFormat/>
    <w:uiPriority w:val="0"/>
    <w:rPr>
      <w:kern w:val="2"/>
      <w:sz w:val="21"/>
      <w:szCs w:val="24"/>
    </w:rPr>
  </w:style>
  <w:style w:type="character" w:customStyle="1" w:styleId="45">
    <w:name w:val="批注主题 字符"/>
    <w:basedOn w:val="44"/>
    <w:link w:val="7"/>
    <w:qFormat/>
    <w:uiPriority w:val="0"/>
    <w:rPr>
      <w:b/>
      <w:bCs/>
      <w:kern w:val="2"/>
      <w:sz w:val="21"/>
      <w:szCs w:val="24"/>
    </w:rPr>
  </w:style>
  <w:style w:type="character" w:customStyle="1" w:styleId="46">
    <w:name w:val="正文文本 字符"/>
    <w:basedOn w:val="23"/>
    <w:link w:val="10"/>
    <w:qFormat/>
    <w:uiPriority w:val="0"/>
    <w:rPr>
      <w:kern w:val="2"/>
      <w:sz w:val="21"/>
      <w:szCs w:val="24"/>
    </w:rPr>
  </w:style>
  <w:style w:type="character" w:customStyle="1" w:styleId="47">
    <w:name w:val="标题 字符"/>
    <w:basedOn w:val="23"/>
    <w:link w:val="22"/>
    <w:qFormat/>
    <w:uiPriority w:val="0"/>
    <w:rPr>
      <w:rFonts w:asciiTheme="majorHAnsi" w:hAnsiTheme="majorHAnsi" w:eastAsiaTheme="majorEastAsia" w:cstheme="majorBidi"/>
      <w:b/>
      <w:bCs/>
      <w:kern w:val="2"/>
      <w:sz w:val="32"/>
      <w:szCs w:val="32"/>
    </w:rPr>
  </w:style>
  <w:style w:type="paragraph" w:customStyle="1" w:styleId="48">
    <w:name w:val="_Style 117"/>
    <w:basedOn w:val="1"/>
    <w:next w:val="38"/>
    <w:qFormat/>
    <w:uiPriority w:val="34"/>
    <w:pPr>
      <w:spacing w:line="240" w:lineRule="auto"/>
      <w:ind w:firstLine="420" w:firstLineChars="200"/>
    </w:pPr>
    <w:rPr>
      <w:rFonts w:ascii="Calibri" w:hAnsi="Calibri" w:cs="Times New Roman"/>
      <w:sz w:val="21"/>
      <w:szCs w:val="22"/>
    </w:rPr>
  </w:style>
  <w:style w:type="paragraph" w:customStyle="1" w:styleId="49">
    <w:name w:val="*正文"/>
    <w:basedOn w:val="1"/>
    <w:qFormat/>
    <w:uiPriority w:val="0"/>
    <w:pPr>
      <w:ind w:firstLine="200" w:firstLineChars="200"/>
    </w:pPr>
    <w:rPr>
      <w:rFonts w:cs="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94C77-ED2F-43C7-AD15-D6F55425E45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22884</Words>
  <Characters>24224</Characters>
  <Lines>200</Lines>
  <Paragraphs>56</Paragraphs>
  <TotalTime>3</TotalTime>
  <ScaleCrop>false</ScaleCrop>
  <LinksUpToDate>false</LinksUpToDate>
  <CharactersWithSpaces>25326</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2023-06-26T09:53:00Z</dcterms:created>
  <dc:creator>不熬夜</dc:creator>
  <cp:lastModifiedBy>烨烨</cp:lastModifiedBy>
  <dcterms:modified xsi:type="dcterms:W3CDTF">2025-02-28T12:22:56Z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92F844F9B5F44E568298C74366D7B70C_13</vt:lpwstr>
  </property>
</Properties>
</file>