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894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180" w:afterAutospacing="0" w:line="17" w:lineRule="atLeast"/>
        <w:ind w:left="0" w:right="0" w:firstLine="0"/>
        <w:jc w:val="center"/>
        <w:rPr>
          <w:rFonts w:hint="default" w:ascii="Arial" w:hAnsi="Arial" w:eastAsia="Arial" w:cs="Arial"/>
          <w:i w:val="0"/>
          <w:iCs w:val="0"/>
          <w:caps w:val="0"/>
          <w:color w:val="050505"/>
          <w:spacing w:val="0"/>
          <w:sz w:val="30"/>
          <w:szCs w:val="30"/>
          <w:shd w:val="clear" w:fill="FFFFFF"/>
        </w:rPr>
      </w:pPr>
      <w:r>
        <w:rPr>
          <w:rFonts w:hint="default" w:ascii="Arial" w:hAnsi="Arial" w:eastAsia="Arial" w:cs="Arial"/>
          <w:i w:val="0"/>
          <w:iCs w:val="0"/>
          <w:caps w:val="0"/>
          <w:color w:val="050505"/>
          <w:spacing w:val="0"/>
          <w:sz w:val="30"/>
          <w:szCs w:val="30"/>
          <w:shd w:val="clear" w:fill="FFFFFF"/>
        </w:rPr>
        <w:t>CytoFLEX LX流式细胞仪、CytoFLEX流式细胞仪、Optima XPN-100超速离心机3台贝克曼设备延保服务项目</w:t>
      </w:r>
      <w:bookmarkStart w:id="11" w:name="_GoBack"/>
      <w:bookmarkEnd w:id="11"/>
      <w:r>
        <w:rPr>
          <w:rFonts w:hint="default" w:ascii="Arial" w:hAnsi="Arial" w:eastAsia="Arial" w:cs="Arial"/>
          <w:i w:val="0"/>
          <w:iCs w:val="0"/>
          <w:caps w:val="0"/>
          <w:color w:val="050505"/>
          <w:spacing w:val="0"/>
          <w:sz w:val="30"/>
          <w:szCs w:val="30"/>
          <w:shd w:val="clear" w:fill="FFFFFF"/>
        </w:rPr>
        <w:t>单一来源采购公告</w:t>
      </w:r>
    </w:p>
    <w:p w14:paraId="1149FC1D">
      <w:pPr>
        <w:rPr>
          <w:rFonts w:hint="eastAsia"/>
        </w:rPr>
      </w:pPr>
    </w:p>
    <w:p w14:paraId="6FB08F0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EE404B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CytoFLEX LX流式细胞仪、CytoFLEX流式细胞仪、Optima XPN-100超速离心机3台贝克曼设备延保服务项目</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snapToGrid w:val="0"/>
          <w:szCs w:val="21"/>
        </w:rPr>
        <w:t>采购</w:t>
      </w:r>
      <w:r>
        <w:rPr>
          <w:rFonts w:hint="eastAsia" w:ascii="宋体" w:hAnsi="宋体" w:cs="Arial Unicode MS"/>
          <w:snapToGrid w:val="0"/>
          <w:kern w:val="0"/>
          <w:szCs w:val="21"/>
        </w:rPr>
        <w:t>文件，并于</w:t>
      </w:r>
      <w:r>
        <w:rPr>
          <w:rFonts w:hint="eastAsia" w:ascii="宋体" w:hAnsi="宋体" w:cs="Arial Unicode MS"/>
          <w:snapToGrid w:val="0"/>
          <w:kern w:val="0"/>
          <w:szCs w:val="21"/>
          <w:u w:val="single"/>
          <w:lang w:eastAsia="zh-CN"/>
        </w:rPr>
        <w:t>2025年12月23日10点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lang w:eastAsia="zh-CN"/>
        </w:rPr>
        <w:t>分</w:t>
      </w:r>
      <w:r>
        <w:rPr>
          <w:rFonts w:hint="eastAsia" w:ascii="宋体" w:hAnsi="宋体" w:cs="Arial Unicode MS"/>
          <w:snapToGrid w:val="0"/>
          <w:kern w:val="0"/>
          <w:szCs w:val="21"/>
        </w:rPr>
        <w:t>（北京时间）前提交应答文件（报价）。</w:t>
      </w:r>
    </w:p>
    <w:p w14:paraId="7818E4FF">
      <w:pPr>
        <w:adjustRightInd w:val="0"/>
        <w:snapToGrid w:val="0"/>
        <w:spacing w:line="360" w:lineRule="auto"/>
        <w:ind w:firstLine="420" w:firstLineChars="200"/>
        <w:jc w:val="left"/>
        <w:rPr>
          <w:rFonts w:ascii="宋体" w:hAnsi="宋体" w:cs="Arial Unicode MS"/>
          <w:snapToGrid w:val="0"/>
          <w:kern w:val="0"/>
          <w:szCs w:val="21"/>
        </w:rPr>
      </w:pPr>
    </w:p>
    <w:p w14:paraId="40AE51C0">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F43CD2D">
      <w:pPr>
        <w:pStyle w:val="10"/>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SZZZ2025-QC0423</w:t>
      </w:r>
    </w:p>
    <w:p w14:paraId="41556832">
      <w:pPr>
        <w:pStyle w:val="10"/>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CytoFLEX LX流式细胞仪、CytoFLEX流式细胞仪、Optima XPN-100超速离心机3台贝克曼设备延保服务项目</w:t>
      </w:r>
    </w:p>
    <w:p w14:paraId="55E73BF0">
      <w:pPr>
        <w:pStyle w:val="10"/>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3、采购方式（组织形式）：单一来源采购</w:t>
      </w:r>
    </w:p>
    <w:p w14:paraId="23A37AD4">
      <w:pPr>
        <w:pStyle w:val="10"/>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lang w:eastAsia="zh-CN"/>
        </w:rPr>
        <w:t>690,000.00</w:t>
      </w:r>
      <w:r>
        <w:rPr>
          <w:rFonts w:hint="eastAsia" w:ascii="宋体" w:hAnsi="宋体" w:eastAsia="宋体"/>
          <w:snapToGrid w:val="0"/>
          <w:color w:val="auto"/>
          <w:sz w:val="21"/>
          <w:szCs w:val="21"/>
        </w:rPr>
        <w:t>元</w:t>
      </w:r>
    </w:p>
    <w:p w14:paraId="4BCDBC0E">
      <w:pPr>
        <w:pStyle w:val="10"/>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lang w:eastAsia="zh-CN"/>
        </w:rPr>
        <w:t>690,000.00</w:t>
      </w:r>
      <w:r>
        <w:rPr>
          <w:rFonts w:hint="eastAsia" w:ascii="宋体" w:hAnsi="宋体" w:eastAsia="宋体"/>
          <w:snapToGrid w:val="0"/>
          <w:color w:val="auto"/>
          <w:sz w:val="21"/>
          <w:szCs w:val="21"/>
        </w:rPr>
        <w:t>元</w:t>
      </w:r>
    </w:p>
    <w:p w14:paraId="3206751A">
      <w:pPr>
        <w:pStyle w:val="10"/>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7"/>
        <w:tblW w:w="8788" w:type="dxa"/>
        <w:tblInd w:w="6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708"/>
        <w:gridCol w:w="3261"/>
        <w:gridCol w:w="708"/>
        <w:gridCol w:w="709"/>
        <w:gridCol w:w="2552"/>
        <w:gridCol w:w="850"/>
      </w:tblGrid>
      <w:tr w14:paraId="7CBFAEE7">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DE6A060">
            <w:pPr>
              <w:pStyle w:val="6"/>
              <w:spacing w:before="0" w:beforeAutospacing="0" w:after="0" w:afterAutospacing="0" w:line="360" w:lineRule="auto"/>
              <w:jc w:val="center"/>
              <w:rPr>
                <w:sz w:val="21"/>
              </w:rPr>
            </w:pPr>
            <w:r>
              <w:rPr>
                <w:rFonts w:hint="eastAsia"/>
                <w:sz w:val="21"/>
              </w:rPr>
              <w:t>序号</w:t>
            </w:r>
          </w:p>
        </w:tc>
        <w:tc>
          <w:tcPr>
            <w:tcW w:w="3261"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EDC6C0B">
            <w:pPr>
              <w:pStyle w:val="6"/>
              <w:spacing w:line="360" w:lineRule="auto"/>
              <w:jc w:val="center"/>
              <w:rPr>
                <w:sz w:val="21"/>
              </w:rPr>
            </w:pPr>
            <w:r>
              <w:rPr>
                <w:sz w:val="21"/>
              </w:rPr>
              <w:t>标的名称</w:t>
            </w:r>
          </w:p>
        </w:tc>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D87A9BC">
            <w:pPr>
              <w:pStyle w:val="6"/>
              <w:spacing w:before="0" w:beforeAutospacing="0" w:after="0" w:afterAutospacing="0" w:line="360" w:lineRule="auto"/>
              <w:jc w:val="center"/>
              <w:rPr>
                <w:sz w:val="21"/>
              </w:rPr>
            </w:pPr>
            <w:r>
              <w:rPr>
                <w:sz w:val="21"/>
              </w:rPr>
              <w:t>数量</w:t>
            </w:r>
          </w:p>
        </w:tc>
        <w:tc>
          <w:tcPr>
            <w:tcW w:w="709"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F1DC062">
            <w:pPr>
              <w:pStyle w:val="6"/>
              <w:spacing w:before="0" w:beforeAutospacing="0" w:after="0" w:afterAutospacing="0" w:line="360" w:lineRule="auto"/>
              <w:jc w:val="center"/>
              <w:rPr>
                <w:sz w:val="21"/>
              </w:rPr>
            </w:pPr>
            <w:r>
              <w:rPr>
                <w:sz w:val="21"/>
              </w:rPr>
              <w:t>单位</w:t>
            </w:r>
          </w:p>
        </w:tc>
        <w:tc>
          <w:tcPr>
            <w:tcW w:w="255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2E91499">
            <w:pPr>
              <w:pStyle w:val="6"/>
              <w:spacing w:before="0" w:beforeAutospacing="0" w:after="0" w:afterAutospacing="0" w:line="360" w:lineRule="auto"/>
              <w:jc w:val="center"/>
              <w:rPr>
                <w:sz w:val="21"/>
              </w:rPr>
            </w:pPr>
            <w:r>
              <w:rPr>
                <w:rFonts w:hint="eastAsia"/>
                <w:sz w:val="21"/>
              </w:rPr>
              <w:t>简要技术需求或服务要求</w:t>
            </w:r>
          </w:p>
        </w:tc>
        <w:tc>
          <w:tcPr>
            <w:tcW w:w="8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2D88E50">
            <w:pPr>
              <w:pStyle w:val="6"/>
              <w:spacing w:before="0" w:beforeAutospacing="0" w:after="0" w:afterAutospacing="0" w:line="360" w:lineRule="auto"/>
              <w:jc w:val="center"/>
              <w:rPr>
                <w:sz w:val="21"/>
              </w:rPr>
            </w:pPr>
            <w:r>
              <w:rPr>
                <w:sz w:val="21"/>
              </w:rPr>
              <w:t>备注</w:t>
            </w:r>
          </w:p>
        </w:tc>
      </w:tr>
      <w:tr w14:paraId="0DF9333B">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noWrap w:val="0"/>
            <w:vAlign w:val="center"/>
          </w:tcPr>
          <w:p w14:paraId="0E53C69E">
            <w:pPr>
              <w:spacing w:line="360" w:lineRule="auto"/>
              <w:jc w:val="center"/>
              <w:rPr>
                <w:rFonts w:ascii="宋体" w:hAnsi="宋体" w:cs="Arial Unicode MS"/>
                <w:snapToGrid w:val="0"/>
                <w:kern w:val="0"/>
                <w:szCs w:val="18"/>
              </w:rPr>
            </w:pPr>
            <w:r>
              <w:rPr>
                <w:rFonts w:hint="eastAsia" w:ascii="宋体" w:hAnsi="宋体"/>
                <w:snapToGrid w:val="0"/>
              </w:rPr>
              <w:t>1</w:t>
            </w:r>
          </w:p>
        </w:tc>
        <w:tc>
          <w:tcPr>
            <w:tcW w:w="3261" w:type="dxa"/>
            <w:tcBorders>
              <w:top w:val="outset" w:color="AAAAAA" w:sz="6" w:space="0"/>
              <w:left w:val="outset" w:color="AAAAAA" w:sz="6" w:space="0"/>
              <w:bottom w:val="outset" w:color="AAAAAA" w:sz="6" w:space="0"/>
              <w:right w:val="outset" w:color="AAAAAA" w:sz="6" w:space="0"/>
            </w:tcBorders>
            <w:noWrap w:val="0"/>
            <w:vAlign w:val="center"/>
          </w:tcPr>
          <w:p w14:paraId="7D46341B">
            <w:pPr>
              <w:spacing w:line="360" w:lineRule="auto"/>
              <w:jc w:val="center"/>
              <w:rPr>
                <w:rFonts w:hint="eastAsia" w:ascii="宋体" w:hAnsi="宋体" w:eastAsia="宋体" w:cs="Arial Unicode MS"/>
                <w:snapToGrid w:val="0"/>
                <w:kern w:val="0"/>
                <w:szCs w:val="18"/>
                <w:lang w:eastAsia="zh-CN"/>
              </w:rPr>
            </w:pPr>
            <w:r>
              <w:rPr>
                <w:rFonts w:hint="eastAsia" w:ascii="宋体" w:hAnsi="宋体"/>
                <w:snapToGrid w:val="0"/>
                <w:lang w:eastAsia="zh-CN"/>
              </w:rPr>
              <w:t>CytoFLEX LX流式细胞仪、CytoFLEX流式细胞仪、Optima XPN-100超速离心机3台贝克曼设备延保服务项目</w:t>
            </w:r>
          </w:p>
        </w:tc>
        <w:tc>
          <w:tcPr>
            <w:tcW w:w="708" w:type="dxa"/>
            <w:tcBorders>
              <w:top w:val="outset" w:color="AAAAAA" w:sz="6" w:space="0"/>
              <w:left w:val="outset" w:color="AAAAAA" w:sz="6" w:space="0"/>
              <w:bottom w:val="outset" w:color="AAAAAA" w:sz="6" w:space="0"/>
              <w:right w:val="outset" w:color="AAAAAA" w:sz="6" w:space="0"/>
            </w:tcBorders>
            <w:noWrap w:val="0"/>
            <w:vAlign w:val="center"/>
          </w:tcPr>
          <w:p w14:paraId="404E1E89">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1</w:t>
            </w:r>
          </w:p>
        </w:tc>
        <w:tc>
          <w:tcPr>
            <w:tcW w:w="709" w:type="dxa"/>
            <w:tcBorders>
              <w:top w:val="outset" w:color="AAAAAA" w:sz="6" w:space="0"/>
              <w:left w:val="outset" w:color="AAAAAA" w:sz="6" w:space="0"/>
              <w:bottom w:val="outset" w:color="AAAAAA" w:sz="6" w:space="0"/>
              <w:right w:val="outset" w:color="AAAAAA" w:sz="6" w:space="0"/>
            </w:tcBorders>
            <w:noWrap w:val="0"/>
            <w:vAlign w:val="center"/>
          </w:tcPr>
          <w:p w14:paraId="5AF814AC">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项</w:t>
            </w:r>
          </w:p>
        </w:tc>
        <w:tc>
          <w:tcPr>
            <w:tcW w:w="2552" w:type="dxa"/>
            <w:tcBorders>
              <w:top w:val="outset" w:color="AAAAAA" w:sz="6" w:space="0"/>
              <w:left w:val="outset" w:color="AAAAAA" w:sz="6" w:space="0"/>
              <w:bottom w:val="outset" w:color="AAAAAA" w:sz="6" w:space="0"/>
              <w:right w:val="outset" w:color="AAAAAA" w:sz="6" w:space="0"/>
            </w:tcBorders>
            <w:noWrap w:val="0"/>
            <w:vAlign w:val="center"/>
          </w:tcPr>
          <w:p w14:paraId="64B43761">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详见采购文件</w:t>
            </w:r>
          </w:p>
        </w:tc>
        <w:tc>
          <w:tcPr>
            <w:tcW w:w="850" w:type="dxa"/>
            <w:tcBorders>
              <w:top w:val="outset" w:color="AAAAAA" w:sz="6" w:space="0"/>
              <w:left w:val="outset" w:color="AAAAAA" w:sz="6" w:space="0"/>
              <w:bottom w:val="outset" w:color="AAAAAA" w:sz="6" w:space="0"/>
              <w:right w:val="outset" w:color="AAAAAA" w:sz="6" w:space="0"/>
            </w:tcBorders>
            <w:noWrap w:val="0"/>
            <w:vAlign w:val="center"/>
          </w:tcPr>
          <w:p w14:paraId="7BEAD74E">
            <w:pPr>
              <w:adjustRightInd w:val="0"/>
              <w:snapToGrid w:val="0"/>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无</w:t>
            </w:r>
          </w:p>
        </w:tc>
      </w:tr>
    </w:tbl>
    <w:p w14:paraId="44ED149F">
      <w:pPr>
        <w:pStyle w:val="10"/>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7、合同履行期限：详见采购文件</w:t>
      </w:r>
      <w:r>
        <w:rPr>
          <w:rFonts w:ascii="宋体" w:hAnsi="宋体" w:eastAsia="宋体"/>
          <w:snapToGrid w:val="0"/>
          <w:color w:val="auto"/>
          <w:sz w:val="21"/>
          <w:szCs w:val="21"/>
        </w:rPr>
        <w:t xml:space="preserve"> </w:t>
      </w:r>
    </w:p>
    <w:p w14:paraId="1785B1ED">
      <w:pPr>
        <w:pStyle w:val="10"/>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w:t>
      </w:r>
      <w:r>
        <w:rPr>
          <w:rFonts w:hint="eastAsia" w:ascii="宋体" w:hAnsi="宋体" w:eastAsia="宋体"/>
          <w:snapToGrid w:val="0"/>
          <w:color w:val="auto"/>
          <w:sz w:val="21"/>
        </w:rPr>
        <w:t>应答</w:t>
      </w:r>
      <w:r>
        <w:rPr>
          <w:rFonts w:hint="eastAsia" w:ascii="宋体" w:hAnsi="宋体" w:eastAsia="宋体"/>
          <w:snapToGrid w:val="0"/>
          <w:color w:val="auto"/>
          <w:sz w:val="21"/>
          <w:szCs w:val="21"/>
        </w:rPr>
        <w:t>：详见“申请人的资格要求”</w:t>
      </w:r>
    </w:p>
    <w:p w14:paraId="579C416A">
      <w:pPr>
        <w:pStyle w:val="10"/>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4D5C7F0">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2EE3767">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营业执照或法人证书等证明材料复印件或扫描件以及《承诺函》加盖供应商公章；如果供应商为分支机构，还须同时提供其具有独立法人资格的上级主体出具的有效授权书及上级主体的营业执照或法人证书等证明材料复印件或扫描件加盖供应商公章，原件备查）。</w:t>
      </w:r>
    </w:p>
    <w:p w14:paraId="4C5DFB2A">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3510A953">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1EC5BB99">
      <w:pPr>
        <w:pStyle w:val="10"/>
        <w:adjustRightInd w:val="0"/>
        <w:snapToGrid w:val="0"/>
        <w:spacing w:before="0" w:beforeAutospacing="0" w:after="0" w:afterAutospacing="0" w:line="360" w:lineRule="auto"/>
        <w:ind w:firstLine="424" w:firstLineChars="202"/>
        <w:rPr>
          <w:rFonts w:hint="eastAsia" w:ascii="宋体" w:hAnsi="宋体" w:eastAsia="宋体"/>
          <w:snapToGrid w:val="0"/>
          <w:color w:val="FF0000"/>
          <w:sz w:val="21"/>
        </w:rPr>
      </w:pPr>
      <w:r>
        <w:rPr>
          <w:rFonts w:hint="eastAsia" w:ascii="宋体" w:hAnsi="宋体" w:eastAsia="宋体"/>
          <w:snapToGrid w:val="0"/>
          <w:color w:val="FF0000"/>
          <w:sz w:val="21"/>
        </w:rPr>
        <w:t>（1）供应商须为采购单位推荐的供应商；</w:t>
      </w:r>
    </w:p>
    <w:p w14:paraId="252E31AA">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（2）参与本项目政府采购活动前三年内，在经营活动中没有重大违法记录（须按本项目应答文件格式要求提供《承诺函》加盖供应商公章）；</w:t>
      </w:r>
    </w:p>
    <w:p w14:paraId="25F57548">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参与本项目政府采购活动时不存在被有关部门禁止参与政府采购活动且在有效期内的情况；与其他供应商不存在“单位负责人为同一人或者存在直接控股、管理关系”的情况（须按本项目应答文件格式要求提供《承诺函》加盖供应商公章）；</w:t>
      </w:r>
    </w:p>
    <w:p w14:paraId="6751F301">
      <w:pPr>
        <w:pStyle w:val="10"/>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（4）不存在《深圳市财政局政府采购供应商信用信息管理办法》（深财规〔2023〕3号）列明的严重违法失信行为（须按本项目应答文件格式要求提供《承诺函》加盖供应商公章）；</w:t>
      </w:r>
    </w:p>
    <w:p w14:paraId="63F590F1">
      <w:pPr>
        <w:pStyle w:val="10"/>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（5）供应商未被列入失信被执行人、重大税收违法案件当事人名单及政府采购严重违法失信行为记录名单（信用中国网</w:t>
      </w:r>
      <w:r>
        <w:rPr>
          <w:rFonts w:hint="eastAsia" w:ascii="宋体" w:hAnsi="宋体" w:eastAsia="宋体"/>
          <w:snapToGrid w:val="0"/>
          <w:color w:val="auto"/>
          <w:sz w:val="21"/>
          <w:lang w:eastAsia="zh-CN"/>
        </w:rPr>
        <w:t>“信息公示”</w:t>
      </w:r>
      <w:r>
        <w:rPr>
          <w:rFonts w:hint="eastAsia" w:ascii="宋体" w:hAnsi="宋体" w:eastAsia="宋体"/>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462202CE">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（6）</w:t>
      </w:r>
      <w:r>
        <w:rPr>
          <w:rFonts w:hint="eastAsia" w:ascii="宋体" w:hAnsi="宋体" w:eastAsia="宋体"/>
          <w:snapToGrid w:val="0"/>
          <w:color w:val="auto"/>
          <w:sz w:val="21"/>
          <w:szCs w:val="21"/>
        </w:rPr>
        <w:t>本项目不接受联合体应答</w:t>
      </w:r>
      <w:r>
        <w:rPr>
          <w:rFonts w:hint="eastAsia" w:ascii="宋体" w:hAnsi="宋体" w:eastAsia="宋体"/>
          <w:snapToGrid w:val="0"/>
          <w:color w:val="auto"/>
          <w:sz w:val="21"/>
        </w:rPr>
        <w:t>，不允许非法分包或转包。</w:t>
      </w:r>
    </w:p>
    <w:p w14:paraId="7006984E">
      <w:pPr>
        <w:pStyle w:val="1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077C958">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5EF73CC7">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2192228">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5EA9DA9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9B874E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46595CCE">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333D8D94">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1E52158F">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0D0B4713">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3195D62">
      <w:pPr>
        <w:pStyle w:val="1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76BDCAD6">
      <w:pPr>
        <w:pStyle w:val="1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79731B3">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24B07F92">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2025年12月23日10点</w:t>
      </w:r>
      <w:r>
        <w:rPr>
          <w:rFonts w:hint="eastAsia" w:ascii="宋体" w:hAnsi="宋体" w:eastAsia="宋体"/>
          <w:snapToGrid w:val="0"/>
          <w:color w:val="auto"/>
          <w:sz w:val="21"/>
          <w:szCs w:val="21"/>
          <w:u w:val="single"/>
          <w:lang w:val="en-US" w:eastAsia="zh-CN"/>
        </w:rPr>
        <w:t>00</w:t>
      </w:r>
      <w:r>
        <w:rPr>
          <w:rFonts w:hint="eastAsia" w:ascii="宋体" w:hAnsi="宋体" w:eastAsia="宋体"/>
          <w:snapToGrid w:val="0"/>
          <w:color w:val="auto"/>
          <w:sz w:val="21"/>
          <w:szCs w:val="21"/>
          <w:u w:val="single"/>
          <w:lang w:eastAsia="zh-CN"/>
        </w:rPr>
        <w:t>分</w:t>
      </w:r>
      <w:r>
        <w:rPr>
          <w:rFonts w:hint="eastAsia" w:ascii="宋体" w:hAnsi="宋体" w:eastAsia="宋体"/>
          <w:snapToGrid w:val="0"/>
          <w:color w:val="auto"/>
          <w:sz w:val="21"/>
          <w:szCs w:val="21"/>
          <w:u w:val="single"/>
        </w:rPr>
        <w:t>（北京时间）</w:t>
      </w:r>
    </w:p>
    <w:p w14:paraId="147A6B02">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深圳市福田区民田路171号新华保险大厦903中正</w:t>
      </w:r>
      <w:r>
        <w:rPr>
          <w:rFonts w:hint="eastAsia" w:ascii="宋体" w:hAnsi="宋体" w:eastAsia="宋体"/>
          <w:snapToGrid w:val="0"/>
          <w:color w:val="auto"/>
          <w:sz w:val="21"/>
          <w:szCs w:val="21"/>
        </w:rPr>
        <w:t>招标</w:t>
      </w:r>
      <w:r>
        <w:rPr>
          <w:rFonts w:ascii="宋体" w:hAnsi="宋体" w:eastAsia="宋体"/>
          <w:snapToGrid w:val="0"/>
          <w:color w:val="auto"/>
          <w:sz w:val="21"/>
          <w:szCs w:val="21"/>
        </w:rPr>
        <w:t>公司</w:t>
      </w:r>
    </w:p>
    <w:p w14:paraId="06F04D43">
      <w:pPr>
        <w:pStyle w:val="1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112684">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0" w:name="_Toc35393625"/>
      <w:bookmarkStart w:id="1" w:name="_Toc35393794"/>
      <w:bookmarkStart w:id="2" w:name="_Toc28359084"/>
      <w:bookmarkStart w:id="3" w:name="_Toc28359007"/>
      <w:r>
        <w:rPr>
          <w:rFonts w:hint="eastAsia" w:ascii="宋体" w:hAnsi="宋体" w:eastAsia="宋体"/>
          <w:b/>
          <w:snapToGrid w:val="0"/>
          <w:color w:val="auto"/>
          <w:sz w:val="21"/>
          <w:szCs w:val="21"/>
        </w:rPr>
        <w:t>五、公告期限</w:t>
      </w:r>
      <w:bookmarkEnd w:id="0"/>
      <w:bookmarkEnd w:id="1"/>
      <w:bookmarkEnd w:id="2"/>
      <w:bookmarkEnd w:id="3"/>
    </w:p>
    <w:p w14:paraId="74ABE9BA">
      <w:pPr>
        <w:pStyle w:val="10"/>
        <w:adjustRightInd w:val="0"/>
        <w:snapToGrid w:val="0"/>
        <w:spacing w:before="0" w:beforeAutospacing="0" w:after="0" w:afterAutospacing="0" w:line="360" w:lineRule="auto"/>
        <w:ind w:left="359" w:leftChars="171" w:firstLine="65" w:firstLineChars="31"/>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12</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17</w:t>
      </w:r>
      <w:r>
        <w:rPr>
          <w:rFonts w:hint="eastAsia" w:ascii="宋体" w:hAnsi="宋体" w:eastAsia="宋体" w:cs="Times New Roman"/>
          <w:color w:val="auto"/>
          <w:kern w:val="2"/>
          <w:sz w:val="21"/>
          <w:szCs w:val="21"/>
        </w:rPr>
        <w:t>日至</w:t>
      </w: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12</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22</w:t>
      </w:r>
      <w:r>
        <w:rPr>
          <w:rFonts w:hint="eastAsia" w:ascii="宋体" w:hAnsi="宋体" w:eastAsia="宋体" w:cs="Times New Roman"/>
          <w:color w:val="auto"/>
          <w:kern w:val="2"/>
          <w:sz w:val="21"/>
          <w:szCs w:val="21"/>
        </w:rPr>
        <w:t>日</w:t>
      </w:r>
    </w:p>
    <w:p w14:paraId="4B59FB7D">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1B4BE748">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4" w:name="_Toc35393795"/>
      <w:bookmarkStart w:id="5" w:name="_Toc35393626"/>
      <w:r>
        <w:rPr>
          <w:rFonts w:hint="eastAsia" w:ascii="宋体" w:hAnsi="宋体" w:eastAsia="宋体"/>
          <w:b/>
          <w:snapToGrid w:val="0"/>
          <w:color w:val="auto"/>
          <w:sz w:val="21"/>
          <w:szCs w:val="21"/>
        </w:rPr>
        <w:t>六、其他补充事宜</w:t>
      </w:r>
      <w:bookmarkEnd w:id="4"/>
      <w:bookmarkEnd w:id="5"/>
    </w:p>
    <w:p w14:paraId="1EEC0DB4">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1519B176">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4EC816AD">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6" w:name="OLE_LINK1"/>
      <w:r>
        <w:rPr>
          <w:rFonts w:hint="eastAsia" w:ascii="宋体" w:hAnsi="宋体" w:eastAsia="宋体"/>
          <w:snapToGrid w:val="0"/>
          <w:color w:val="auto"/>
          <w:sz w:val="21"/>
          <w:szCs w:val="21"/>
          <w:lang w:eastAsia="zh-CN"/>
        </w:rPr>
        <w:t>采购代理机构</w:t>
      </w:r>
      <w:r>
        <w:rPr>
          <w:rFonts w:hint="eastAsia" w:ascii="宋体" w:hAnsi="宋体" w:eastAsia="宋体"/>
          <w:snapToGrid w:val="0"/>
          <w:color w:val="auto"/>
          <w:sz w:val="21"/>
          <w:szCs w:val="21"/>
        </w:rPr>
        <w:t>网</w:t>
      </w:r>
      <w:r>
        <w:rPr>
          <w:rFonts w:hint="eastAsia" w:ascii="宋体" w:hAnsi="宋体" w:eastAsia="宋体"/>
          <w:snapToGrid w:val="0"/>
          <w:color w:val="auto"/>
          <w:sz w:val="21"/>
          <w:szCs w:val="21"/>
          <w:lang w:eastAsia="zh-CN"/>
        </w:rPr>
        <w:t>站</w:t>
      </w:r>
      <w:bookmarkEnd w:id="6"/>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2E9F3B23">
      <w:pPr>
        <w:pStyle w:val="1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14DB19E">
      <w:pPr>
        <w:pStyle w:val="10"/>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52FF749">
      <w:pPr>
        <w:pStyle w:val="1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7" w:name="_Toc28359008"/>
      <w:bookmarkStart w:id="8" w:name="_Toc35393796"/>
      <w:bookmarkStart w:id="9" w:name="_Toc35393627"/>
      <w:bookmarkStart w:id="10" w:name="_Toc28359085"/>
      <w:r>
        <w:rPr>
          <w:rFonts w:hint="eastAsia" w:ascii="宋体" w:hAnsi="宋体" w:eastAsia="宋体"/>
          <w:b/>
          <w:snapToGrid w:val="0"/>
          <w:color w:val="auto"/>
          <w:sz w:val="21"/>
          <w:szCs w:val="21"/>
        </w:rPr>
        <w:t>七、凡对本次采购提出询问，请按以下方式联系。</w:t>
      </w:r>
      <w:bookmarkEnd w:id="7"/>
      <w:bookmarkEnd w:id="8"/>
      <w:bookmarkEnd w:id="9"/>
      <w:bookmarkEnd w:id="10"/>
    </w:p>
    <w:p w14:paraId="46FE8B1E">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6A0C87CB">
      <w:pPr>
        <w:pStyle w:val="1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中山大学附属第七医院(深圳)</w:t>
      </w:r>
    </w:p>
    <w:p w14:paraId="28D5EE4E">
      <w:pPr>
        <w:pStyle w:val="1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深圳市光明区新湖街道圳园路628号</w:t>
      </w:r>
    </w:p>
    <w:p w14:paraId="3285C953">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李工，0755-81206231</w:t>
      </w:r>
    </w:p>
    <w:p w14:paraId="393CAC93">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8CDED04">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321F879">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45876ABF">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姚工</w:t>
      </w:r>
      <w:r>
        <w:rPr>
          <w:rFonts w:hint="eastAsia" w:ascii="宋体" w:hAnsi="宋体" w:eastAsia="宋体"/>
          <w:snapToGrid w:val="0"/>
          <w:color w:val="auto"/>
          <w:sz w:val="21"/>
          <w:szCs w:val="21"/>
        </w:rPr>
        <w:t>，0755-83026699</w:t>
      </w:r>
    </w:p>
    <w:p w14:paraId="77D67440">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09EDC08">
      <w:pPr>
        <w:pStyle w:val="10"/>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姚工</w:t>
      </w:r>
    </w:p>
    <w:p w14:paraId="3A3CA0DB">
      <w:pPr>
        <w:pStyle w:val="1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01AC37F0">
      <w:pPr>
        <w:pStyle w:val="1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2EAE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D616F1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lang w:eastAsia="zh-CN"/>
        </w:rPr>
        <w:t>2025</w:t>
      </w:r>
      <w:r>
        <w:rPr>
          <w:rFonts w:hint="eastAsia" w:ascii="宋体" w:hAnsi="宋体"/>
          <w:snapToGrid w:val="0"/>
          <w:kern w:val="0"/>
          <w:sz w:val="24"/>
        </w:rPr>
        <w:t>年</w:t>
      </w:r>
      <w:r>
        <w:rPr>
          <w:rFonts w:hint="eastAsia" w:ascii="宋体" w:hAnsi="宋体"/>
          <w:snapToGrid w:val="0"/>
          <w:kern w:val="0"/>
          <w:sz w:val="24"/>
          <w:lang w:val="en-US" w:eastAsia="zh-CN"/>
        </w:rPr>
        <w:t>12</w:t>
      </w:r>
      <w:r>
        <w:rPr>
          <w:rFonts w:hint="eastAsia" w:ascii="宋体" w:hAnsi="宋体"/>
          <w:snapToGrid w:val="0"/>
          <w:kern w:val="0"/>
          <w:sz w:val="24"/>
        </w:rPr>
        <w:t>月</w:t>
      </w:r>
      <w:r>
        <w:rPr>
          <w:rFonts w:hint="eastAsia" w:ascii="宋体" w:hAnsi="宋体"/>
          <w:snapToGrid w:val="0"/>
          <w:kern w:val="0"/>
          <w:sz w:val="24"/>
          <w:lang w:val="en-US" w:eastAsia="zh-CN"/>
        </w:rPr>
        <w:t>17</w:t>
      </w:r>
      <w:r>
        <w:rPr>
          <w:rFonts w:hint="eastAsia" w:ascii="宋体" w:hAnsi="宋体"/>
          <w:snapToGrid w:val="0"/>
          <w:kern w:val="0"/>
          <w:sz w:val="24"/>
        </w:rPr>
        <w:t>日</w:t>
      </w:r>
    </w:p>
    <w:p w14:paraId="183FBA5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E74D7"/>
    <w:rsid w:val="28312876"/>
    <w:rsid w:val="3DC21772"/>
    <w:rsid w:val="474478AF"/>
    <w:rsid w:val="4B67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340" w:after="330" w:line="578" w:lineRule="auto"/>
      <w:outlineLvl w:val="0"/>
    </w:pPr>
    <w:rPr>
      <w:b w:val="0"/>
      <w:bCs w:val="0"/>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b/>
      <w:bCs/>
    </w:rPr>
  </w:style>
  <w:style w:type="paragraph" w:styleId="5">
    <w:name w:val="Body Text 2"/>
    <w:basedOn w:val="1"/>
    <w:qFormat/>
    <w:uiPriority w:val="0"/>
    <w:pPr>
      <w:spacing w:line="360" w:lineRule="auto"/>
    </w:pPr>
    <w:rPr>
      <w:rFonts w:ascii="Times New Roman" w:hAnsi="Times New Roman"/>
      <w:kern w:val="0"/>
      <w:sz w:val="24"/>
      <w:szCs w:val="24"/>
    </w:rPr>
  </w:style>
  <w:style w:type="paragraph" w:styleId="6">
    <w:name w:val="Normal (Web)"/>
    <w:basedOn w:val="1"/>
    <w:qFormat/>
    <w:uiPriority w:val="99"/>
    <w:pPr>
      <w:spacing w:beforeAutospacing="1" w:afterAutospacing="1"/>
    </w:pPr>
  </w:style>
  <w:style w:type="paragraph" w:customStyle="1" w:styleId="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1684</Words>
  <Characters>1887</Characters>
  <Lines>0</Lines>
  <Paragraphs>0</Paragraphs>
  <TotalTime>0</TotalTime>
  <ScaleCrop>false</ScaleCrop>
  <LinksUpToDate>false</LinksUpToDate>
  <CharactersWithSpaces>1895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2024-12-24T10:42:00Z</dcterms:created>
  <dc:creator>Lenovo</dc:creator>
  <cp:lastModifiedBy>中正姚工</cp:lastModifiedBy>
  <dcterms:modified xsi:type="dcterms:W3CDTF">2025-12-17T10:12:56Z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eyJoZGlkIjoiZWE2MTFmYjBkMWU4MjExYjUxZDQyMmVjMmUyY2RjZjciLCJ1c2VySWQiOiI0MTY4MjAxODEifQ==</vt:lpwstr>
  </property>
  <property fmtid="{D5CDD505-2E9C-101B-9397-08002B2CF9AE}" pid="4" name="ICV">
    <vt:lpwstr>9EB7326C2A0F4766AF298640B3D373F9_12</vt:lpwstr>
  </property>
</Properties>
</file>